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F3D" w:rsidRPr="00D22F3D" w:rsidRDefault="000179A4" w:rsidP="00D22F3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D22F3D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D22F3D">
        <w:rPr>
          <w:rFonts w:ascii="Times New Roman" w:hAnsi="Times New Roman" w:cs="Times New Roman"/>
          <w:sz w:val="24"/>
          <w:szCs w:val="24"/>
        </w:rPr>
        <w:tab/>
      </w:r>
      <w:r w:rsidR="00D22F3D" w:rsidRPr="00D22F3D">
        <w:rPr>
          <w:rFonts w:ascii="Times New Roman" w:hAnsi="Times New Roman" w:cs="Times New Roman"/>
          <w:b/>
          <w:sz w:val="24"/>
          <w:szCs w:val="24"/>
        </w:rPr>
        <w:t>PROJETO DE LEI Nº 031/2026, DE 14 DE SETEMBRO DE 2026.</w:t>
      </w:r>
    </w:p>
    <w:p w:rsidR="00D22F3D" w:rsidRPr="00D22F3D" w:rsidRDefault="00D22F3D" w:rsidP="00D22F3D">
      <w:pPr>
        <w:spacing w:line="276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aps/>
          <w:sz w:val="24"/>
          <w:szCs w:val="24"/>
          <w:lang w:val="x-none"/>
        </w:rPr>
      </w:pPr>
    </w:p>
    <w:p w:rsidR="00D22F3D" w:rsidRPr="00D22F3D" w:rsidRDefault="00D22F3D" w:rsidP="00D22F3D">
      <w:pPr>
        <w:pStyle w:val="Ttulo3"/>
        <w:spacing w:before="0" w:beforeAutospacing="0" w:after="0" w:afterAutospacing="0" w:line="276" w:lineRule="auto"/>
        <w:ind w:left="4248"/>
        <w:jc w:val="both"/>
        <w:rPr>
          <w:rFonts w:ascii="Times New Roman" w:hAnsi="Times New Roman"/>
          <w:bCs w:val="0"/>
          <w:sz w:val="24"/>
          <w:szCs w:val="24"/>
        </w:rPr>
      </w:pPr>
      <w:r w:rsidRPr="00D22F3D">
        <w:rPr>
          <w:rFonts w:ascii="Times New Roman" w:hAnsi="Times New Roman"/>
          <w:bCs w:val="0"/>
          <w:sz w:val="24"/>
          <w:szCs w:val="24"/>
        </w:rPr>
        <w:t xml:space="preserve">Dispõe sobre as </w:t>
      </w:r>
      <w:r w:rsidRPr="00D22F3D">
        <w:rPr>
          <w:rFonts w:ascii="Times New Roman" w:hAnsi="Times New Roman"/>
          <w:bCs w:val="0"/>
          <w:sz w:val="24"/>
          <w:szCs w:val="24"/>
          <w:lang w:val="pt-BR"/>
        </w:rPr>
        <w:t>D</w:t>
      </w:r>
      <w:proofErr w:type="spellStart"/>
      <w:r w:rsidRPr="00D22F3D">
        <w:rPr>
          <w:rFonts w:ascii="Times New Roman" w:hAnsi="Times New Roman"/>
          <w:bCs w:val="0"/>
          <w:sz w:val="24"/>
          <w:szCs w:val="24"/>
        </w:rPr>
        <w:t>iretrizes</w:t>
      </w:r>
      <w:proofErr w:type="spellEnd"/>
      <w:r w:rsidRPr="00D22F3D">
        <w:rPr>
          <w:rFonts w:ascii="Times New Roman" w:hAnsi="Times New Roman"/>
          <w:bCs w:val="0"/>
          <w:sz w:val="24"/>
          <w:szCs w:val="24"/>
        </w:rPr>
        <w:t xml:space="preserve"> para a elaboração da Lei Orçamentária de 202</w:t>
      </w:r>
      <w:r w:rsidRPr="00D22F3D">
        <w:rPr>
          <w:rFonts w:ascii="Times New Roman" w:hAnsi="Times New Roman"/>
          <w:bCs w:val="0"/>
          <w:sz w:val="24"/>
          <w:szCs w:val="24"/>
          <w:lang w:val="pt-BR"/>
        </w:rPr>
        <w:t>7</w:t>
      </w:r>
      <w:r w:rsidRPr="00D22F3D">
        <w:rPr>
          <w:rFonts w:ascii="Times New Roman" w:hAnsi="Times New Roman"/>
          <w:bCs w:val="0"/>
          <w:sz w:val="24"/>
          <w:szCs w:val="24"/>
        </w:rPr>
        <w:t>.</w:t>
      </w:r>
    </w:p>
    <w:p w:rsidR="00D22F3D" w:rsidRPr="00D22F3D" w:rsidRDefault="00D22F3D" w:rsidP="00D22F3D">
      <w:pPr>
        <w:pStyle w:val="Ttulo3"/>
        <w:spacing w:before="0" w:beforeAutospacing="0" w:after="0" w:afterAutospacing="0" w:line="276" w:lineRule="auto"/>
        <w:ind w:left="4248"/>
        <w:jc w:val="both"/>
        <w:rPr>
          <w:rFonts w:ascii="Times New Roman" w:hAnsi="Times New Roman"/>
          <w:bCs w:val="0"/>
          <w:sz w:val="24"/>
          <w:szCs w:val="24"/>
        </w:rPr>
      </w:pPr>
    </w:p>
    <w:p w:rsidR="00D22F3D" w:rsidRPr="00D22F3D" w:rsidRDefault="00D22F3D" w:rsidP="00D22F3D">
      <w:pPr>
        <w:spacing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D22F3D">
        <w:rPr>
          <w:rFonts w:ascii="Times New Roman" w:hAnsi="Times New Roman" w:cs="Times New Roman"/>
          <w:b/>
          <w:sz w:val="24"/>
          <w:szCs w:val="24"/>
        </w:rPr>
        <w:t>JOSIEL FERNANDO GRISELI</w:t>
      </w:r>
      <w:r w:rsidRPr="00D22F3D">
        <w:rPr>
          <w:rFonts w:ascii="Times New Roman" w:hAnsi="Times New Roman" w:cs="Times New Roman"/>
          <w:sz w:val="24"/>
          <w:szCs w:val="24"/>
        </w:rPr>
        <w:t>, Prefeito Municipal de Ponte Preta, Estado do Rio Grande do Sul, no uso das atribuições legais, de conformidade com o disposto na Lei Orgânica do Município,</w:t>
      </w:r>
    </w:p>
    <w:p w:rsidR="00D22F3D" w:rsidRPr="00D22F3D" w:rsidRDefault="00D22F3D" w:rsidP="00D22F3D">
      <w:pPr>
        <w:spacing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D22F3D">
        <w:rPr>
          <w:rFonts w:ascii="Times New Roman" w:hAnsi="Times New Roman" w:cs="Times New Roman"/>
          <w:b/>
          <w:sz w:val="24"/>
          <w:szCs w:val="24"/>
        </w:rPr>
        <w:t>FAÇO SABER</w:t>
      </w:r>
      <w:r w:rsidRPr="00D22F3D">
        <w:rPr>
          <w:rFonts w:ascii="Times New Roman" w:hAnsi="Times New Roman" w:cs="Times New Roman"/>
          <w:sz w:val="24"/>
          <w:szCs w:val="24"/>
        </w:rPr>
        <w:t>, que a Câmara de Vereadores aprovou e eu sanciono e promulgo a seguinte Lei:</w:t>
      </w:r>
    </w:p>
    <w:p w:rsidR="00D22F3D" w:rsidRPr="00D22F3D" w:rsidRDefault="00D22F3D" w:rsidP="00D22F3D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22F3D">
        <w:rPr>
          <w:rFonts w:ascii="Times New Roman" w:hAnsi="Times New Roman" w:cs="Times New Roman"/>
          <w:b/>
          <w:sz w:val="24"/>
          <w:szCs w:val="24"/>
        </w:rPr>
        <w:t xml:space="preserve">CAPÍTULO I </w:t>
      </w:r>
    </w:p>
    <w:p w:rsidR="00D22F3D" w:rsidRPr="00D22F3D" w:rsidRDefault="00D22F3D" w:rsidP="00D22F3D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22F3D">
        <w:rPr>
          <w:rFonts w:ascii="Times New Roman" w:hAnsi="Times New Roman" w:cs="Times New Roman"/>
          <w:sz w:val="24"/>
          <w:szCs w:val="24"/>
        </w:rPr>
        <w:t>DAS DISPOSIÇÕES PRELIMINARES</w:t>
      </w:r>
    </w:p>
    <w:p w:rsidR="00D22F3D" w:rsidRPr="00D22F3D" w:rsidRDefault="00D22F3D" w:rsidP="00D22F3D">
      <w:pPr>
        <w:spacing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D22F3D">
        <w:rPr>
          <w:rFonts w:ascii="Times New Roman" w:hAnsi="Times New Roman" w:cs="Times New Roman"/>
          <w:b/>
          <w:sz w:val="24"/>
          <w:szCs w:val="24"/>
        </w:rPr>
        <w:t>Art. 1</w:t>
      </w:r>
      <w:r w:rsidRPr="00D22F3D">
        <w:rPr>
          <w:rFonts w:ascii="Times New Roman" w:hAnsi="Times New Roman" w:cs="Times New Roman"/>
          <w:b/>
          <w:sz w:val="24"/>
          <w:szCs w:val="24"/>
          <w:u w:val="words"/>
          <w:vertAlign w:val="superscript"/>
        </w:rPr>
        <w:t>o</w:t>
      </w:r>
      <w:r w:rsidRPr="00D22F3D">
        <w:rPr>
          <w:rFonts w:ascii="Times New Roman" w:hAnsi="Times New Roman" w:cs="Times New Roman"/>
          <w:sz w:val="24"/>
          <w:szCs w:val="24"/>
        </w:rPr>
        <w:t xml:space="preserve"> </w:t>
      </w:r>
      <w:r w:rsidR="00F33379">
        <w:rPr>
          <w:rFonts w:ascii="Times New Roman" w:hAnsi="Times New Roman" w:cs="Times New Roman"/>
          <w:sz w:val="24"/>
          <w:szCs w:val="24"/>
        </w:rPr>
        <w:t xml:space="preserve">- </w:t>
      </w:r>
      <w:r w:rsidRPr="00D22F3D">
        <w:rPr>
          <w:rFonts w:ascii="Times New Roman" w:hAnsi="Times New Roman" w:cs="Times New Roman"/>
          <w:sz w:val="24"/>
          <w:szCs w:val="24"/>
        </w:rPr>
        <w:t>São estabelecidas, em cumprimento ao disposto no art. 165, § 2</w:t>
      </w:r>
      <w:r w:rsidRPr="00D22F3D">
        <w:rPr>
          <w:rFonts w:ascii="Times New Roman" w:hAnsi="Times New Roman" w:cs="Times New Roman"/>
          <w:sz w:val="24"/>
          <w:szCs w:val="24"/>
          <w:u w:val="words"/>
          <w:vertAlign w:val="superscript"/>
        </w:rPr>
        <w:t>o</w:t>
      </w:r>
      <w:r w:rsidRPr="00D22F3D">
        <w:rPr>
          <w:rFonts w:ascii="Times New Roman" w:hAnsi="Times New Roman" w:cs="Times New Roman"/>
          <w:sz w:val="24"/>
          <w:szCs w:val="24"/>
        </w:rPr>
        <w:t xml:space="preserve">, da Constituição Federal, </w:t>
      </w:r>
      <w:r w:rsidRPr="00D22F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no art. 133, </w:t>
      </w:r>
      <w:r w:rsidRPr="00D22F3D">
        <w:rPr>
          <w:rFonts w:ascii="Times New Roman" w:hAnsi="Times New Roman" w:cs="Times New Roman"/>
          <w:sz w:val="24"/>
          <w:szCs w:val="24"/>
        </w:rPr>
        <w:t>na Lei Complementar nº 101 de 04 de maio de 2000, na Lei Federal nº 4320 de 17 de março de 1964, nas Portarias editadas pelo Governo Federal e na Lei Orgânica Municipal, as diretrizes orçamentárias do Município, compreendendo:</w:t>
      </w:r>
    </w:p>
    <w:p w:rsidR="00D22F3D" w:rsidRPr="00D22F3D" w:rsidRDefault="00D22F3D" w:rsidP="00D22F3D">
      <w:pPr>
        <w:spacing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D22F3D">
        <w:rPr>
          <w:rFonts w:ascii="Times New Roman" w:hAnsi="Times New Roman" w:cs="Times New Roman"/>
          <w:b/>
          <w:sz w:val="24"/>
          <w:szCs w:val="24"/>
        </w:rPr>
        <w:t>I –</w:t>
      </w:r>
      <w:r w:rsidRPr="00D22F3D">
        <w:rPr>
          <w:rFonts w:ascii="Times New Roman" w:hAnsi="Times New Roman" w:cs="Times New Roman"/>
          <w:sz w:val="24"/>
          <w:szCs w:val="24"/>
        </w:rPr>
        <w:t xml:space="preserve"> objetivos e ações da Administração para o exercício proposto, em conformidade com o plano plurianual; </w:t>
      </w:r>
    </w:p>
    <w:p w:rsidR="00D22F3D" w:rsidRPr="00D22F3D" w:rsidRDefault="00D22F3D" w:rsidP="00D22F3D">
      <w:pPr>
        <w:spacing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D22F3D">
        <w:rPr>
          <w:rFonts w:ascii="Times New Roman" w:hAnsi="Times New Roman" w:cs="Times New Roman"/>
          <w:b/>
          <w:sz w:val="24"/>
          <w:szCs w:val="24"/>
        </w:rPr>
        <w:t xml:space="preserve">II - </w:t>
      </w:r>
      <w:r w:rsidRPr="00D22F3D">
        <w:rPr>
          <w:rFonts w:ascii="Times New Roman" w:hAnsi="Times New Roman" w:cs="Times New Roman"/>
          <w:sz w:val="24"/>
          <w:szCs w:val="24"/>
        </w:rPr>
        <w:t xml:space="preserve">a estrutura, organização e diretrizes para a execução e alterações do orçamento do Município; </w:t>
      </w:r>
    </w:p>
    <w:p w:rsidR="00D22F3D" w:rsidRPr="00D22F3D" w:rsidRDefault="00D22F3D" w:rsidP="00D22F3D">
      <w:pPr>
        <w:spacing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D22F3D">
        <w:rPr>
          <w:rFonts w:ascii="Times New Roman" w:hAnsi="Times New Roman" w:cs="Times New Roman"/>
          <w:b/>
          <w:sz w:val="24"/>
          <w:szCs w:val="24"/>
        </w:rPr>
        <w:t>III -</w:t>
      </w:r>
      <w:r w:rsidRPr="00D22F3D">
        <w:rPr>
          <w:rFonts w:ascii="Times New Roman" w:hAnsi="Times New Roman" w:cs="Times New Roman"/>
          <w:sz w:val="24"/>
          <w:szCs w:val="24"/>
        </w:rPr>
        <w:t xml:space="preserve"> as disposições relativas às despesas com pessoal;</w:t>
      </w:r>
    </w:p>
    <w:p w:rsidR="00D22F3D" w:rsidRPr="00D22F3D" w:rsidRDefault="00D22F3D" w:rsidP="00D22F3D">
      <w:pPr>
        <w:spacing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D22F3D">
        <w:rPr>
          <w:rFonts w:ascii="Times New Roman" w:hAnsi="Times New Roman" w:cs="Times New Roman"/>
          <w:b/>
          <w:sz w:val="24"/>
          <w:szCs w:val="24"/>
        </w:rPr>
        <w:t>IV -</w:t>
      </w:r>
      <w:r w:rsidRPr="00D22F3D">
        <w:rPr>
          <w:rFonts w:ascii="Times New Roman" w:hAnsi="Times New Roman" w:cs="Times New Roman"/>
          <w:sz w:val="24"/>
          <w:szCs w:val="24"/>
        </w:rPr>
        <w:t xml:space="preserve"> as disposições sobre as alterações na legislação tributária.</w:t>
      </w:r>
    </w:p>
    <w:p w:rsidR="00D22F3D" w:rsidRPr="00D22F3D" w:rsidRDefault="00D22F3D" w:rsidP="00D22F3D">
      <w:pPr>
        <w:spacing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D22F3D">
        <w:rPr>
          <w:rFonts w:ascii="Times New Roman" w:hAnsi="Times New Roman" w:cs="Times New Roman"/>
          <w:b/>
          <w:sz w:val="24"/>
          <w:szCs w:val="24"/>
        </w:rPr>
        <w:t>Parágrafo único.</w:t>
      </w:r>
      <w:r w:rsidRPr="00D22F3D">
        <w:rPr>
          <w:rFonts w:ascii="Times New Roman" w:hAnsi="Times New Roman" w:cs="Times New Roman"/>
          <w:sz w:val="24"/>
          <w:szCs w:val="24"/>
        </w:rPr>
        <w:t xml:space="preserve"> Faz parte integrante desta Lei os seguintes documentos:</w:t>
      </w:r>
    </w:p>
    <w:p w:rsidR="00D22F3D" w:rsidRPr="00D22F3D" w:rsidRDefault="00D22F3D" w:rsidP="00D22F3D">
      <w:pPr>
        <w:spacing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D22F3D">
        <w:rPr>
          <w:rFonts w:ascii="Times New Roman" w:hAnsi="Times New Roman" w:cs="Times New Roman"/>
          <w:b/>
          <w:sz w:val="24"/>
          <w:szCs w:val="24"/>
        </w:rPr>
        <w:t>I –</w:t>
      </w:r>
      <w:r w:rsidRPr="00D22F3D">
        <w:rPr>
          <w:rFonts w:ascii="Times New Roman" w:hAnsi="Times New Roman" w:cs="Times New Roman"/>
          <w:sz w:val="24"/>
          <w:szCs w:val="24"/>
        </w:rPr>
        <w:t xml:space="preserve"> Previsão da Receita para 2027/2030.</w:t>
      </w:r>
    </w:p>
    <w:p w:rsidR="00D22F3D" w:rsidRPr="00D22F3D" w:rsidRDefault="00D22F3D" w:rsidP="00D22F3D">
      <w:pPr>
        <w:spacing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D22F3D">
        <w:rPr>
          <w:rFonts w:ascii="Times New Roman" w:hAnsi="Times New Roman" w:cs="Times New Roman"/>
          <w:b/>
          <w:sz w:val="24"/>
          <w:szCs w:val="24"/>
        </w:rPr>
        <w:t>II -</w:t>
      </w:r>
      <w:r w:rsidRPr="00D22F3D">
        <w:rPr>
          <w:rFonts w:ascii="Times New Roman" w:hAnsi="Times New Roman" w:cs="Times New Roman"/>
          <w:sz w:val="24"/>
          <w:szCs w:val="24"/>
        </w:rPr>
        <w:t xml:space="preserve"> Anexo contendo objetivos e ações para 2027.</w:t>
      </w:r>
    </w:p>
    <w:p w:rsidR="00D22F3D" w:rsidRPr="00D22F3D" w:rsidRDefault="00D22F3D" w:rsidP="00D22F3D">
      <w:pPr>
        <w:spacing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D22F3D">
        <w:rPr>
          <w:rFonts w:ascii="Times New Roman" w:hAnsi="Times New Roman" w:cs="Times New Roman"/>
          <w:b/>
          <w:sz w:val="24"/>
          <w:szCs w:val="24"/>
        </w:rPr>
        <w:t>III –</w:t>
      </w:r>
      <w:r w:rsidRPr="00D22F3D">
        <w:rPr>
          <w:rFonts w:ascii="Times New Roman" w:hAnsi="Times New Roman" w:cs="Times New Roman"/>
          <w:sz w:val="24"/>
          <w:szCs w:val="24"/>
        </w:rPr>
        <w:t xml:space="preserve"> Anexo de Metas Fiscais para o exercício de 2027 que conterá:</w:t>
      </w:r>
    </w:p>
    <w:p w:rsidR="00D22F3D" w:rsidRPr="00D22F3D" w:rsidRDefault="00D22F3D" w:rsidP="00D22F3D">
      <w:pPr>
        <w:numPr>
          <w:ilvl w:val="0"/>
          <w:numId w:val="1"/>
        </w:numPr>
        <w:tabs>
          <w:tab w:val="clear" w:pos="1744"/>
        </w:tabs>
        <w:spacing w:after="0" w:line="276" w:lineRule="auto"/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D22F3D">
        <w:rPr>
          <w:rFonts w:ascii="Times New Roman" w:hAnsi="Times New Roman" w:cs="Times New Roman"/>
          <w:sz w:val="24"/>
          <w:szCs w:val="24"/>
        </w:rPr>
        <w:t>Metas anuais de resultado primário e nominal.</w:t>
      </w:r>
    </w:p>
    <w:p w:rsidR="00D22F3D" w:rsidRPr="00D22F3D" w:rsidRDefault="00D22F3D" w:rsidP="00D22F3D">
      <w:pPr>
        <w:numPr>
          <w:ilvl w:val="0"/>
          <w:numId w:val="1"/>
        </w:numPr>
        <w:tabs>
          <w:tab w:val="clear" w:pos="1744"/>
        </w:tabs>
        <w:spacing w:after="0" w:line="276" w:lineRule="auto"/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D22F3D">
        <w:rPr>
          <w:rFonts w:ascii="Times New Roman" w:hAnsi="Times New Roman" w:cs="Times New Roman"/>
          <w:sz w:val="24"/>
          <w:szCs w:val="24"/>
        </w:rPr>
        <w:t>Evolução do patrimônio líquido.</w:t>
      </w:r>
    </w:p>
    <w:p w:rsidR="00D22F3D" w:rsidRPr="00D22F3D" w:rsidRDefault="00D22F3D" w:rsidP="00D22F3D">
      <w:pPr>
        <w:numPr>
          <w:ilvl w:val="0"/>
          <w:numId w:val="1"/>
        </w:numPr>
        <w:tabs>
          <w:tab w:val="clear" w:pos="1744"/>
        </w:tabs>
        <w:spacing w:after="0" w:line="276" w:lineRule="auto"/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D22F3D">
        <w:rPr>
          <w:rFonts w:ascii="Times New Roman" w:hAnsi="Times New Roman" w:cs="Times New Roman"/>
          <w:sz w:val="24"/>
          <w:szCs w:val="24"/>
        </w:rPr>
        <w:t>Origem e aplicação dos recursos obtidos com a alienação de ativos.</w:t>
      </w:r>
    </w:p>
    <w:p w:rsidR="00D22F3D" w:rsidRPr="00D22F3D" w:rsidRDefault="00D22F3D" w:rsidP="00D22F3D">
      <w:pPr>
        <w:numPr>
          <w:ilvl w:val="0"/>
          <w:numId w:val="1"/>
        </w:numPr>
        <w:tabs>
          <w:tab w:val="clear" w:pos="1744"/>
        </w:tabs>
        <w:spacing w:after="0" w:line="276" w:lineRule="auto"/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D22F3D">
        <w:rPr>
          <w:rFonts w:ascii="Times New Roman" w:hAnsi="Times New Roman" w:cs="Times New Roman"/>
          <w:sz w:val="24"/>
          <w:szCs w:val="24"/>
        </w:rPr>
        <w:t>Estimativa e Compensação de renúncia da receita.</w:t>
      </w:r>
    </w:p>
    <w:p w:rsidR="00D22F3D" w:rsidRPr="00D22F3D" w:rsidRDefault="00D22F3D" w:rsidP="00D22F3D">
      <w:pPr>
        <w:numPr>
          <w:ilvl w:val="0"/>
          <w:numId w:val="1"/>
        </w:numPr>
        <w:tabs>
          <w:tab w:val="clear" w:pos="1744"/>
        </w:tabs>
        <w:spacing w:after="0" w:line="276" w:lineRule="auto"/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D22F3D">
        <w:rPr>
          <w:rFonts w:ascii="Times New Roman" w:hAnsi="Times New Roman" w:cs="Times New Roman"/>
          <w:sz w:val="24"/>
          <w:szCs w:val="24"/>
        </w:rPr>
        <w:t>Margem de expansão das despesas obrigatórias de caráter continuado.</w:t>
      </w:r>
    </w:p>
    <w:p w:rsidR="00D22F3D" w:rsidRPr="00D22F3D" w:rsidRDefault="00D22F3D" w:rsidP="00D22F3D">
      <w:pPr>
        <w:numPr>
          <w:ilvl w:val="0"/>
          <w:numId w:val="1"/>
        </w:numPr>
        <w:tabs>
          <w:tab w:val="clear" w:pos="1744"/>
        </w:tabs>
        <w:spacing w:after="0" w:line="276" w:lineRule="auto"/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D22F3D">
        <w:rPr>
          <w:rFonts w:ascii="Times New Roman" w:hAnsi="Times New Roman" w:cs="Times New Roman"/>
          <w:sz w:val="24"/>
          <w:szCs w:val="24"/>
        </w:rPr>
        <w:t>Metas fiscais atuais comparadas aos três anos anteriores.</w:t>
      </w:r>
    </w:p>
    <w:p w:rsidR="00D22F3D" w:rsidRPr="00D22F3D" w:rsidRDefault="00D22F3D" w:rsidP="00D22F3D">
      <w:pPr>
        <w:numPr>
          <w:ilvl w:val="0"/>
          <w:numId w:val="1"/>
        </w:numPr>
        <w:tabs>
          <w:tab w:val="clear" w:pos="1744"/>
        </w:tabs>
        <w:spacing w:after="0" w:line="276" w:lineRule="auto"/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D22F3D">
        <w:rPr>
          <w:rFonts w:ascii="Times New Roman" w:hAnsi="Times New Roman" w:cs="Times New Roman"/>
          <w:sz w:val="24"/>
          <w:szCs w:val="24"/>
        </w:rPr>
        <w:t>Metas anuais.</w:t>
      </w:r>
    </w:p>
    <w:p w:rsidR="00D22F3D" w:rsidRPr="00D22F3D" w:rsidRDefault="00D22F3D" w:rsidP="00D22F3D">
      <w:pPr>
        <w:numPr>
          <w:ilvl w:val="0"/>
          <w:numId w:val="1"/>
        </w:numPr>
        <w:tabs>
          <w:tab w:val="clear" w:pos="1744"/>
        </w:tabs>
        <w:spacing w:after="0" w:line="276" w:lineRule="auto"/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D22F3D">
        <w:rPr>
          <w:rFonts w:ascii="Times New Roman" w:hAnsi="Times New Roman" w:cs="Times New Roman"/>
          <w:sz w:val="24"/>
          <w:szCs w:val="24"/>
        </w:rPr>
        <w:t>Receita corrente líquida com projeção de despesa com pessoal.</w:t>
      </w:r>
    </w:p>
    <w:p w:rsidR="00D22F3D" w:rsidRPr="00D22F3D" w:rsidRDefault="00D22F3D" w:rsidP="00D22F3D">
      <w:pPr>
        <w:spacing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D22F3D">
        <w:rPr>
          <w:rFonts w:ascii="Times New Roman" w:hAnsi="Times New Roman" w:cs="Times New Roman"/>
          <w:b/>
          <w:sz w:val="24"/>
          <w:szCs w:val="24"/>
        </w:rPr>
        <w:lastRenderedPageBreak/>
        <w:t>IV -</w:t>
      </w:r>
      <w:r w:rsidRPr="00D22F3D">
        <w:rPr>
          <w:rFonts w:ascii="Times New Roman" w:hAnsi="Times New Roman" w:cs="Times New Roman"/>
          <w:sz w:val="24"/>
          <w:szCs w:val="24"/>
        </w:rPr>
        <w:t xml:space="preserve"> Anexo de Riscos Fiscais.</w:t>
      </w:r>
    </w:p>
    <w:p w:rsidR="00D22F3D" w:rsidRPr="00D22F3D" w:rsidRDefault="00D22F3D" w:rsidP="00D22F3D">
      <w:pPr>
        <w:pStyle w:val="Ttulo1"/>
        <w:spacing w:before="0" w:beforeAutospacing="0" w:after="0" w:afterAutospacing="0" w:line="276" w:lineRule="auto"/>
        <w:jc w:val="center"/>
        <w:rPr>
          <w:rFonts w:ascii="Times New Roman" w:hAnsi="Times New Roman"/>
          <w:bCs w:val="0"/>
          <w:sz w:val="24"/>
          <w:szCs w:val="24"/>
        </w:rPr>
      </w:pPr>
      <w:r w:rsidRPr="00D22F3D">
        <w:rPr>
          <w:rFonts w:ascii="Times New Roman" w:hAnsi="Times New Roman"/>
          <w:bCs w:val="0"/>
          <w:sz w:val="24"/>
          <w:szCs w:val="24"/>
        </w:rPr>
        <w:t>CAPÍTULO II</w:t>
      </w:r>
    </w:p>
    <w:p w:rsidR="00D22F3D" w:rsidRPr="00D22F3D" w:rsidRDefault="00D22F3D" w:rsidP="00D22F3D">
      <w:pPr>
        <w:pStyle w:val="Ttulo1"/>
        <w:spacing w:before="0" w:beforeAutospacing="0" w:after="0" w:afterAutospacing="0" w:line="276" w:lineRule="auto"/>
        <w:jc w:val="center"/>
        <w:rPr>
          <w:rFonts w:ascii="Times New Roman" w:hAnsi="Times New Roman"/>
          <w:bCs w:val="0"/>
          <w:sz w:val="24"/>
          <w:szCs w:val="24"/>
          <w:lang w:val="pt-BR"/>
        </w:rPr>
      </w:pPr>
      <w:r w:rsidRPr="00D22F3D">
        <w:rPr>
          <w:rFonts w:ascii="Times New Roman" w:hAnsi="Times New Roman"/>
          <w:bCs w:val="0"/>
          <w:sz w:val="24"/>
          <w:szCs w:val="24"/>
        </w:rPr>
        <w:t xml:space="preserve">DAS DIRETRIZES, OBJETIVOS E METAS </w:t>
      </w:r>
    </w:p>
    <w:p w:rsidR="00D22F3D" w:rsidRPr="00D22F3D" w:rsidRDefault="00D22F3D" w:rsidP="00D22F3D">
      <w:pPr>
        <w:pStyle w:val="Ttulo1"/>
        <w:spacing w:before="0" w:beforeAutospacing="0" w:after="0" w:afterAutospacing="0" w:line="276" w:lineRule="auto"/>
        <w:jc w:val="center"/>
        <w:rPr>
          <w:rFonts w:ascii="Times New Roman" w:hAnsi="Times New Roman"/>
          <w:bCs w:val="0"/>
          <w:sz w:val="24"/>
          <w:szCs w:val="24"/>
          <w:lang w:val="pt-BR"/>
        </w:rPr>
      </w:pPr>
    </w:p>
    <w:p w:rsidR="00D22F3D" w:rsidRPr="00D22F3D" w:rsidRDefault="00D22F3D" w:rsidP="00D22F3D">
      <w:pPr>
        <w:tabs>
          <w:tab w:val="left" w:pos="4860"/>
        </w:tabs>
        <w:spacing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D22F3D">
        <w:rPr>
          <w:rFonts w:ascii="Times New Roman" w:hAnsi="Times New Roman" w:cs="Times New Roman"/>
          <w:b/>
          <w:sz w:val="24"/>
          <w:szCs w:val="24"/>
        </w:rPr>
        <w:t>Art. 2</w:t>
      </w:r>
      <w:r w:rsidRPr="00D22F3D">
        <w:rPr>
          <w:rFonts w:ascii="Times New Roman" w:hAnsi="Times New Roman" w:cs="Times New Roman"/>
          <w:b/>
          <w:sz w:val="24"/>
          <w:szCs w:val="24"/>
          <w:u w:val="words"/>
          <w:vertAlign w:val="superscript"/>
        </w:rPr>
        <w:t>o</w:t>
      </w:r>
      <w:r w:rsidRPr="00D22F3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33379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D22F3D">
        <w:rPr>
          <w:rFonts w:ascii="Times New Roman" w:hAnsi="Times New Roman" w:cs="Times New Roman"/>
          <w:sz w:val="24"/>
          <w:szCs w:val="24"/>
        </w:rPr>
        <w:t>Em consonância com o art. 165, § 2</w:t>
      </w:r>
      <w:r w:rsidRPr="00D22F3D">
        <w:rPr>
          <w:rFonts w:ascii="Times New Roman" w:hAnsi="Times New Roman" w:cs="Times New Roman"/>
          <w:sz w:val="24"/>
          <w:szCs w:val="24"/>
          <w:u w:val="words"/>
          <w:vertAlign w:val="superscript"/>
        </w:rPr>
        <w:t>o</w:t>
      </w:r>
      <w:r w:rsidRPr="00D22F3D">
        <w:rPr>
          <w:rFonts w:ascii="Times New Roman" w:hAnsi="Times New Roman" w:cs="Times New Roman"/>
          <w:sz w:val="24"/>
          <w:szCs w:val="24"/>
        </w:rPr>
        <w:t xml:space="preserve">, da Constituição Federal, as prioridades para o exercício financeiro de 2027 são as especificadas em Anexo que integra esta Lei. </w:t>
      </w:r>
    </w:p>
    <w:p w:rsidR="00D22F3D" w:rsidRPr="00D22F3D" w:rsidRDefault="00D22F3D" w:rsidP="00D22F3D">
      <w:pPr>
        <w:spacing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D22F3D">
        <w:rPr>
          <w:rFonts w:ascii="Times New Roman" w:hAnsi="Times New Roman" w:cs="Times New Roman"/>
          <w:b/>
          <w:iCs/>
          <w:sz w:val="24"/>
          <w:szCs w:val="24"/>
        </w:rPr>
        <w:t xml:space="preserve">§ </w:t>
      </w:r>
      <w:r w:rsidRPr="00D22F3D">
        <w:rPr>
          <w:rFonts w:ascii="Times New Roman" w:hAnsi="Times New Roman" w:cs="Times New Roman"/>
          <w:b/>
          <w:sz w:val="24"/>
          <w:szCs w:val="24"/>
        </w:rPr>
        <w:t>1</w:t>
      </w:r>
      <w:r w:rsidRPr="00D22F3D">
        <w:rPr>
          <w:rFonts w:ascii="Times New Roman" w:hAnsi="Times New Roman" w:cs="Times New Roman"/>
          <w:b/>
          <w:sz w:val="24"/>
          <w:szCs w:val="24"/>
          <w:u w:val="single"/>
          <w:vertAlign w:val="superscript"/>
        </w:rPr>
        <w:t>o</w:t>
      </w:r>
      <w:r w:rsidRPr="00D22F3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22F3D">
        <w:rPr>
          <w:rFonts w:ascii="Times New Roman" w:hAnsi="Times New Roman" w:cs="Times New Roman"/>
          <w:sz w:val="24"/>
          <w:szCs w:val="24"/>
        </w:rPr>
        <w:t xml:space="preserve">Os valores e metas constantes no Anexo de que trata este artigo possui caráter indicativo e não normativo, devendo servir de referência para o planejamento, sendo atualizados pela lei orçamentária e respectivos créditos adicionais, com atualização automática nos valores e metas previstas no plano plurianual. </w:t>
      </w:r>
    </w:p>
    <w:p w:rsidR="00D22F3D" w:rsidRPr="00D22F3D" w:rsidRDefault="00D22F3D" w:rsidP="00F33379">
      <w:pPr>
        <w:spacing w:line="276" w:lineRule="auto"/>
        <w:ind w:firstLine="141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22F3D">
        <w:rPr>
          <w:rFonts w:ascii="Times New Roman" w:hAnsi="Times New Roman" w:cs="Times New Roman"/>
          <w:b/>
          <w:sz w:val="24"/>
          <w:szCs w:val="24"/>
        </w:rPr>
        <w:t>§ 2</w:t>
      </w:r>
      <w:r w:rsidRPr="00D22F3D">
        <w:rPr>
          <w:rFonts w:ascii="Times New Roman" w:hAnsi="Times New Roman" w:cs="Times New Roman"/>
          <w:b/>
          <w:sz w:val="24"/>
          <w:szCs w:val="24"/>
          <w:u w:val="single"/>
          <w:vertAlign w:val="superscript"/>
        </w:rPr>
        <w:t>o</w:t>
      </w:r>
      <w:r w:rsidRPr="00D22F3D">
        <w:rPr>
          <w:rFonts w:ascii="Times New Roman" w:hAnsi="Times New Roman" w:cs="Times New Roman"/>
          <w:b/>
          <w:sz w:val="24"/>
          <w:szCs w:val="24"/>
          <w:vertAlign w:val="superscript"/>
        </w:rPr>
        <w:t xml:space="preserve"> </w:t>
      </w:r>
      <w:r w:rsidRPr="00D22F3D">
        <w:rPr>
          <w:rFonts w:ascii="Times New Roman" w:hAnsi="Times New Roman" w:cs="Times New Roman"/>
          <w:sz w:val="24"/>
          <w:szCs w:val="24"/>
        </w:rPr>
        <w:t xml:space="preserve">Para efeitos de execução orçamentária, os indicadores de desempenho, associados aos objetivos dos programas, bem como as alterações nas ações relativas ao produto, a unidade de medida e a quantificação física, poderão ser alterados pelo Poder Executivo. </w:t>
      </w:r>
    </w:p>
    <w:p w:rsidR="00D22F3D" w:rsidRPr="00D22F3D" w:rsidRDefault="00D22F3D" w:rsidP="00D22F3D">
      <w:pPr>
        <w:pStyle w:val="Ttulo6"/>
        <w:spacing w:before="0" w:beforeAutospacing="0" w:after="0" w:afterAutospacing="0" w:line="276" w:lineRule="auto"/>
        <w:jc w:val="center"/>
        <w:rPr>
          <w:rFonts w:ascii="Times New Roman" w:hAnsi="Times New Roman"/>
          <w:bCs w:val="0"/>
          <w:sz w:val="24"/>
          <w:szCs w:val="24"/>
        </w:rPr>
      </w:pPr>
      <w:r w:rsidRPr="00D22F3D">
        <w:rPr>
          <w:rFonts w:ascii="Times New Roman" w:hAnsi="Times New Roman"/>
          <w:bCs w:val="0"/>
          <w:sz w:val="24"/>
          <w:szCs w:val="24"/>
        </w:rPr>
        <w:t>CAPÍTULO III</w:t>
      </w:r>
    </w:p>
    <w:p w:rsidR="00D22F3D" w:rsidRPr="00D22F3D" w:rsidRDefault="00D22F3D" w:rsidP="00D22F3D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2F3D">
        <w:rPr>
          <w:rFonts w:ascii="Times New Roman" w:hAnsi="Times New Roman" w:cs="Times New Roman"/>
          <w:b/>
          <w:sz w:val="24"/>
          <w:szCs w:val="24"/>
        </w:rPr>
        <w:t xml:space="preserve">A ESTRUTURA E ORGANIZAÇÃO DO ORÇAMENTO </w:t>
      </w:r>
    </w:p>
    <w:p w:rsidR="00F33379" w:rsidRDefault="00D22F3D" w:rsidP="00D22F3D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2F3D">
        <w:rPr>
          <w:rFonts w:ascii="Times New Roman" w:hAnsi="Times New Roman" w:cs="Times New Roman"/>
          <w:b/>
          <w:sz w:val="24"/>
          <w:szCs w:val="24"/>
        </w:rPr>
        <w:t>Seção I</w:t>
      </w:r>
    </w:p>
    <w:p w:rsidR="00D22F3D" w:rsidRPr="00D22F3D" w:rsidRDefault="00D22F3D" w:rsidP="00D22F3D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2F3D">
        <w:rPr>
          <w:rFonts w:ascii="Times New Roman" w:hAnsi="Times New Roman" w:cs="Times New Roman"/>
          <w:b/>
          <w:sz w:val="24"/>
          <w:szCs w:val="24"/>
        </w:rPr>
        <w:t>Da Apresentação do Orçamento</w:t>
      </w:r>
    </w:p>
    <w:p w:rsidR="00D22F3D" w:rsidRPr="00D22F3D" w:rsidRDefault="00D22F3D" w:rsidP="00D22F3D">
      <w:pPr>
        <w:spacing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D22F3D">
        <w:rPr>
          <w:rFonts w:ascii="Times New Roman" w:hAnsi="Times New Roman" w:cs="Times New Roman"/>
          <w:b/>
          <w:sz w:val="24"/>
          <w:szCs w:val="24"/>
        </w:rPr>
        <w:t>Art. 3</w:t>
      </w:r>
      <w:r w:rsidRPr="00D22F3D">
        <w:rPr>
          <w:rFonts w:ascii="Times New Roman" w:hAnsi="Times New Roman" w:cs="Times New Roman"/>
          <w:b/>
          <w:sz w:val="24"/>
          <w:szCs w:val="24"/>
          <w:u w:val="words"/>
          <w:vertAlign w:val="superscript"/>
        </w:rPr>
        <w:t>o</w:t>
      </w:r>
      <w:r w:rsidRPr="00D22F3D">
        <w:rPr>
          <w:rFonts w:ascii="Times New Roman" w:hAnsi="Times New Roman" w:cs="Times New Roman"/>
          <w:sz w:val="24"/>
          <w:szCs w:val="24"/>
        </w:rPr>
        <w:t xml:space="preserve"> </w:t>
      </w:r>
      <w:r w:rsidR="00F33379">
        <w:rPr>
          <w:rFonts w:ascii="Times New Roman" w:hAnsi="Times New Roman" w:cs="Times New Roman"/>
          <w:sz w:val="24"/>
          <w:szCs w:val="24"/>
        </w:rPr>
        <w:t xml:space="preserve">- </w:t>
      </w:r>
      <w:r w:rsidRPr="00D22F3D">
        <w:rPr>
          <w:rFonts w:ascii="Times New Roman" w:hAnsi="Times New Roman" w:cs="Times New Roman"/>
          <w:sz w:val="24"/>
          <w:szCs w:val="24"/>
        </w:rPr>
        <w:t>O orçamento fiscal compreenderá a programação dos Poderes Executivo e Legislativo do Município.</w:t>
      </w:r>
    </w:p>
    <w:p w:rsidR="00D22F3D" w:rsidRPr="00D22F3D" w:rsidRDefault="00D22F3D" w:rsidP="00D22F3D">
      <w:pPr>
        <w:spacing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D22F3D">
        <w:rPr>
          <w:rFonts w:ascii="Times New Roman" w:hAnsi="Times New Roman" w:cs="Times New Roman"/>
          <w:b/>
          <w:sz w:val="24"/>
          <w:szCs w:val="24"/>
        </w:rPr>
        <w:t>Art. 4</w:t>
      </w:r>
      <w:r w:rsidRPr="00D22F3D">
        <w:rPr>
          <w:rFonts w:ascii="Times New Roman" w:hAnsi="Times New Roman" w:cs="Times New Roman"/>
          <w:b/>
          <w:sz w:val="24"/>
          <w:szCs w:val="24"/>
          <w:u w:val="words"/>
          <w:vertAlign w:val="superscript"/>
        </w:rPr>
        <w:t>o</w:t>
      </w:r>
      <w:r w:rsidRPr="00D22F3D">
        <w:rPr>
          <w:rFonts w:ascii="Times New Roman" w:hAnsi="Times New Roman" w:cs="Times New Roman"/>
          <w:sz w:val="24"/>
          <w:szCs w:val="24"/>
        </w:rPr>
        <w:t xml:space="preserve"> </w:t>
      </w:r>
      <w:r w:rsidR="00F33379">
        <w:rPr>
          <w:rFonts w:ascii="Times New Roman" w:hAnsi="Times New Roman" w:cs="Times New Roman"/>
          <w:sz w:val="24"/>
          <w:szCs w:val="24"/>
        </w:rPr>
        <w:t xml:space="preserve">- </w:t>
      </w:r>
      <w:r w:rsidRPr="00D22F3D">
        <w:rPr>
          <w:rFonts w:ascii="Times New Roman" w:hAnsi="Times New Roman" w:cs="Times New Roman"/>
          <w:sz w:val="24"/>
          <w:szCs w:val="24"/>
        </w:rPr>
        <w:t>O orçamento discriminará a despesa por unidade orçamentária, detalhada por categoria de programação até o nível de elemento de despesa.</w:t>
      </w:r>
    </w:p>
    <w:p w:rsidR="00D22F3D" w:rsidRPr="00D22F3D" w:rsidRDefault="00D22F3D" w:rsidP="00F33379">
      <w:pPr>
        <w:spacing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D22F3D">
        <w:rPr>
          <w:rFonts w:ascii="Times New Roman" w:hAnsi="Times New Roman" w:cs="Times New Roman"/>
          <w:b/>
          <w:sz w:val="24"/>
          <w:szCs w:val="24"/>
        </w:rPr>
        <w:t>Art. 5</w:t>
      </w:r>
      <w:r w:rsidRPr="00D22F3D">
        <w:rPr>
          <w:rFonts w:ascii="Times New Roman" w:hAnsi="Times New Roman" w:cs="Times New Roman"/>
          <w:b/>
          <w:sz w:val="24"/>
          <w:szCs w:val="24"/>
          <w:u w:val="words"/>
          <w:vertAlign w:val="superscript"/>
        </w:rPr>
        <w:t>o</w:t>
      </w:r>
      <w:r w:rsidRPr="00D22F3D">
        <w:rPr>
          <w:rFonts w:ascii="Times New Roman" w:hAnsi="Times New Roman" w:cs="Times New Roman"/>
          <w:sz w:val="24"/>
          <w:szCs w:val="24"/>
        </w:rPr>
        <w:t xml:space="preserve"> </w:t>
      </w:r>
      <w:r w:rsidR="00F33379">
        <w:rPr>
          <w:rFonts w:ascii="Times New Roman" w:hAnsi="Times New Roman" w:cs="Times New Roman"/>
          <w:sz w:val="24"/>
          <w:szCs w:val="24"/>
        </w:rPr>
        <w:t xml:space="preserve">- </w:t>
      </w:r>
      <w:r w:rsidRPr="00D22F3D">
        <w:rPr>
          <w:rFonts w:ascii="Times New Roman" w:hAnsi="Times New Roman" w:cs="Times New Roman"/>
          <w:sz w:val="24"/>
          <w:szCs w:val="24"/>
        </w:rPr>
        <w:t xml:space="preserve">A lei orçamentária discriminará em unidades orçamentárias específicas as dotações destinadas: </w:t>
      </w:r>
    </w:p>
    <w:p w:rsidR="00D22F3D" w:rsidRPr="00D22F3D" w:rsidRDefault="00D22F3D" w:rsidP="00F33379">
      <w:pPr>
        <w:spacing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D22F3D">
        <w:rPr>
          <w:rFonts w:ascii="Times New Roman" w:hAnsi="Times New Roman" w:cs="Times New Roman"/>
          <w:b/>
          <w:sz w:val="24"/>
          <w:szCs w:val="24"/>
        </w:rPr>
        <w:t>I –</w:t>
      </w:r>
      <w:r w:rsidRPr="00D22F3D">
        <w:rPr>
          <w:rFonts w:ascii="Times New Roman" w:hAnsi="Times New Roman" w:cs="Times New Roman"/>
          <w:sz w:val="24"/>
          <w:szCs w:val="24"/>
        </w:rPr>
        <w:t xml:space="preserve"> a fundos especiais;</w:t>
      </w:r>
    </w:p>
    <w:p w:rsidR="00D22F3D" w:rsidRPr="00D22F3D" w:rsidRDefault="00D22F3D" w:rsidP="00F33379">
      <w:pPr>
        <w:spacing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D22F3D">
        <w:rPr>
          <w:rFonts w:ascii="Times New Roman" w:hAnsi="Times New Roman" w:cs="Times New Roman"/>
          <w:b/>
          <w:sz w:val="24"/>
          <w:szCs w:val="24"/>
        </w:rPr>
        <w:t>II -</w:t>
      </w:r>
      <w:r w:rsidRPr="00D22F3D">
        <w:rPr>
          <w:rFonts w:ascii="Times New Roman" w:hAnsi="Times New Roman" w:cs="Times New Roman"/>
          <w:sz w:val="24"/>
          <w:szCs w:val="24"/>
        </w:rPr>
        <w:t xml:space="preserve"> às ações de saúde;</w:t>
      </w:r>
    </w:p>
    <w:p w:rsidR="00D22F3D" w:rsidRPr="00D22F3D" w:rsidRDefault="00D22F3D" w:rsidP="00F33379">
      <w:pPr>
        <w:spacing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D22F3D">
        <w:rPr>
          <w:rFonts w:ascii="Times New Roman" w:hAnsi="Times New Roman" w:cs="Times New Roman"/>
          <w:b/>
          <w:sz w:val="24"/>
          <w:szCs w:val="24"/>
        </w:rPr>
        <w:t>III –</w:t>
      </w:r>
      <w:r w:rsidRPr="00D22F3D">
        <w:rPr>
          <w:rFonts w:ascii="Times New Roman" w:hAnsi="Times New Roman" w:cs="Times New Roman"/>
          <w:sz w:val="24"/>
          <w:szCs w:val="24"/>
        </w:rPr>
        <w:t xml:space="preserve"> às ações de assistência social; </w:t>
      </w:r>
    </w:p>
    <w:p w:rsidR="00D22F3D" w:rsidRPr="00D22F3D" w:rsidRDefault="00D22F3D" w:rsidP="00F33379">
      <w:pPr>
        <w:tabs>
          <w:tab w:val="left" w:pos="708"/>
        </w:tabs>
        <w:spacing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D22F3D">
        <w:rPr>
          <w:rFonts w:ascii="Times New Roman" w:hAnsi="Times New Roman" w:cs="Times New Roman"/>
          <w:b/>
          <w:sz w:val="24"/>
          <w:szCs w:val="24"/>
        </w:rPr>
        <w:t>IV –</w:t>
      </w:r>
      <w:r w:rsidRPr="00D22F3D">
        <w:rPr>
          <w:rFonts w:ascii="Times New Roman" w:hAnsi="Times New Roman" w:cs="Times New Roman"/>
          <w:sz w:val="24"/>
          <w:szCs w:val="24"/>
        </w:rPr>
        <w:t xml:space="preserve"> à Manutenção e Desenvolvimento do Ensino.</w:t>
      </w:r>
    </w:p>
    <w:p w:rsidR="00D22F3D" w:rsidRPr="00D22F3D" w:rsidRDefault="00D22F3D" w:rsidP="00F33379">
      <w:pPr>
        <w:spacing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D22F3D">
        <w:rPr>
          <w:rFonts w:ascii="Times New Roman" w:hAnsi="Times New Roman" w:cs="Times New Roman"/>
          <w:b/>
          <w:sz w:val="24"/>
          <w:szCs w:val="24"/>
        </w:rPr>
        <w:t>Art. 6</w:t>
      </w:r>
      <w:r w:rsidRPr="00D22F3D">
        <w:rPr>
          <w:rFonts w:ascii="Times New Roman" w:hAnsi="Times New Roman" w:cs="Times New Roman"/>
          <w:b/>
          <w:sz w:val="24"/>
          <w:szCs w:val="24"/>
          <w:u w:val="words"/>
          <w:vertAlign w:val="superscript"/>
        </w:rPr>
        <w:t>o</w:t>
      </w:r>
      <w:r w:rsidRPr="00D22F3D">
        <w:rPr>
          <w:rFonts w:ascii="Times New Roman" w:hAnsi="Times New Roman" w:cs="Times New Roman"/>
          <w:sz w:val="24"/>
          <w:szCs w:val="24"/>
        </w:rPr>
        <w:t xml:space="preserve"> </w:t>
      </w:r>
      <w:r w:rsidR="00F33379">
        <w:rPr>
          <w:rFonts w:ascii="Times New Roman" w:hAnsi="Times New Roman" w:cs="Times New Roman"/>
          <w:sz w:val="24"/>
          <w:szCs w:val="24"/>
        </w:rPr>
        <w:t xml:space="preserve">- </w:t>
      </w:r>
      <w:r w:rsidRPr="00D22F3D">
        <w:rPr>
          <w:rFonts w:ascii="Times New Roman" w:hAnsi="Times New Roman" w:cs="Times New Roman"/>
          <w:sz w:val="24"/>
          <w:szCs w:val="24"/>
        </w:rPr>
        <w:t xml:space="preserve">O projeto de lei orçamentária que o Poder Executivo encaminhará ao Legislativo será constituído de: </w:t>
      </w:r>
    </w:p>
    <w:p w:rsidR="00D22F3D" w:rsidRPr="00D22F3D" w:rsidRDefault="00D22F3D" w:rsidP="00F33379">
      <w:pPr>
        <w:spacing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D22F3D">
        <w:rPr>
          <w:rFonts w:ascii="Times New Roman" w:hAnsi="Times New Roman" w:cs="Times New Roman"/>
          <w:b/>
          <w:sz w:val="24"/>
          <w:szCs w:val="24"/>
        </w:rPr>
        <w:t>I -</w:t>
      </w:r>
      <w:r w:rsidRPr="00D22F3D">
        <w:rPr>
          <w:rFonts w:ascii="Times New Roman" w:hAnsi="Times New Roman" w:cs="Times New Roman"/>
          <w:sz w:val="24"/>
          <w:szCs w:val="24"/>
        </w:rPr>
        <w:t xml:space="preserve"> texto da Lei; </w:t>
      </w:r>
    </w:p>
    <w:p w:rsidR="00F33379" w:rsidRDefault="00D22F3D" w:rsidP="00D22F3D">
      <w:pPr>
        <w:spacing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D22F3D">
        <w:rPr>
          <w:rFonts w:ascii="Times New Roman" w:hAnsi="Times New Roman" w:cs="Times New Roman"/>
          <w:b/>
          <w:sz w:val="24"/>
          <w:szCs w:val="24"/>
        </w:rPr>
        <w:t>II -</w:t>
      </w:r>
      <w:r w:rsidRPr="00D22F3D">
        <w:rPr>
          <w:rFonts w:ascii="Times New Roman" w:hAnsi="Times New Roman" w:cs="Times New Roman"/>
          <w:sz w:val="24"/>
          <w:szCs w:val="24"/>
        </w:rPr>
        <w:t xml:space="preserve"> quadros orçamentários consolidados, sendo facultativos quadros adicionais que demonstrem o efeito das transferências financeiras (interferências ativas e passivas) entre órgãos e entidades do Município; </w:t>
      </w:r>
    </w:p>
    <w:p w:rsidR="00D22F3D" w:rsidRPr="00D22F3D" w:rsidRDefault="00D22F3D" w:rsidP="00D22F3D">
      <w:pPr>
        <w:spacing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D22F3D">
        <w:rPr>
          <w:rFonts w:ascii="Times New Roman" w:hAnsi="Times New Roman" w:cs="Times New Roman"/>
          <w:b/>
          <w:sz w:val="24"/>
          <w:szCs w:val="24"/>
        </w:rPr>
        <w:lastRenderedPageBreak/>
        <w:t>III -</w:t>
      </w:r>
      <w:r w:rsidRPr="00D22F3D">
        <w:rPr>
          <w:rFonts w:ascii="Times New Roman" w:hAnsi="Times New Roman" w:cs="Times New Roman"/>
          <w:sz w:val="24"/>
          <w:szCs w:val="24"/>
        </w:rPr>
        <w:t xml:space="preserve"> anexo do orçamento fiscal, discriminando a receita e a despesa na forma definida nesta Lei.</w:t>
      </w:r>
    </w:p>
    <w:p w:rsidR="00D22F3D" w:rsidRPr="00D22F3D" w:rsidRDefault="00D22F3D" w:rsidP="00D22F3D">
      <w:pPr>
        <w:spacing w:line="276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2F3D">
        <w:rPr>
          <w:rFonts w:ascii="Times New Roman" w:hAnsi="Times New Roman" w:cs="Times New Roman"/>
          <w:b/>
          <w:sz w:val="24"/>
          <w:szCs w:val="24"/>
        </w:rPr>
        <w:t>Seção II</w:t>
      </w:r>
    </w:p>
    <w:p w:rsidR="00D22F3D" w:rsidRPr="00D22F3D" w:rsidRDefault="00D22F3D" w:rsidP="00D22F3D">
      <w:pPr>
        <w:spacing w:line="276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2F3D">
        <w:rPr>
          <w:rFonts w:ascii="Times New Roman" w:hAnsi="Times New Roman" w:cs="Times New Roman"/>
          <w:b/>
          <w:sz w:val="24"/>
          <w:szCs w:val="24"/>
        </w:rPr>
        <w:t>Do Equilíbrio entre Receitas e Despesas</w:t>
      </w:r>
    </w:p>
    <w:p w:rsidR="00D22F3D" w:rsidRPr="00D22F3D" w:rsidRDefault="00D22F3D" w:rsidP="00D22F3D">
      <w:pPr>
        <w:spacing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D22F3D">
        <w:rPr>
          <w:rFonts w:ascii="Times New Roman" w:hAnsi="Times New Roman" w:cs="Times New Roman"/>
          <w:b/>
          <w:sz w:val="24"/>
          <w:szCs w:val="24"/>
        </w:rPr>
        <w:t xml:space="preserve">Art. 7º </w:t>
      </w:r>
      <w:r w:rsidR="00F33379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D22F3D">
        <w:rPr>
          <w:rFonts w:ascii="Times New Roman" w:hAnsi="Times New Roman" w:cs="Times New Roman"/>
          <w:sz w:val="24"/>
          <w:szCs w:val="24"/>
        </w:rPr>
        <w:t>A lei orçamentária conterá reserva de contingência constituída de dotação global e corresponderá, na lei orçamentária a, no mínimo, o valor de R$ 200.000,00 (duzentos mil reais),</w:t>
      </w:r>
      <w:r w:rsidRPr="00D22F3D">
        <w:rPr>
          <w:rFonts w:ascii="Times New Roman" w:hAnsi="Times New Roman" w:cs="Times New Roman"/>
          <w:color w:val="3366FF"/>
          <w:sz w:val="24"/>
          <w:szCs w:val="24"/>
        </w:rPr>
        <w:t xml:space="preserve"> </w:t>
      </w:r>
      <w:r w:rsidRPr="00D22F3D">
        <w:rPr>
          <w:rFonts w:ascii="Times New Roman" w:hAnsi="Times New Roman" w:cs="Times New Roman"/>
          <w:sz w:val="24"/>
          <w:szCs w:val="24"/>
        </w:rPr>
        <w:t>prevista para o Município para o atendimento de passivos contingentes e eventos fiscais imprevistos, considerando-se, neste último, a possibilidade de destinação para a abertura de créditos adicionais (Port. 163 STN, art. 8º), conforme Anexo de Riscos Fiscais.</w:t>
      </w:r>
    </w:p>
    <w:p w:rsidR="00D22F3D" w:rsidRPr="00D22F3D" w:rsidRDefault="00D22F3D" w:rsidP="00D22F3D">
      <w:pPr>
        <w:spacing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D22F3D">
        <w:rPr>
          <w:rFonts w:ascii="Times New Roman" w:hAnsi="Times New Roman" w:cs="Times New Roman"/>
          <w:b/>
          <w:sz w:val="24"/>
          <w:szCs w:val="24"/>
        </w:rPr>
        <w:t xml:space="preserve">§ 1º </w:t>
      </w:r>
      <w:r w:rsidRPr="00D22F3D">
        <w:rPr>
          <w:rFonts w:ascii="Times New Roman" w:hAnsi="Times New Roman" w:cs="Times New Roman"/>
          <w:sz w:val="24"/>
          <w:szCs w:val="24"/>
        </w:rPr>
        <w:t>Não será considerada, para os efeitos do percentual de que trata o caput, a reserva à conta de receitas vinculadas dos fundos.</w:t>
      </w:r>
    </w:p>
    <w:p w:rsidR="00D22F3D" w:rsidRPr="00D22F3D" w:rsidRDefault="00D22F3D" w:rsidP="00D22F3D">
      <w:pPr>
        <w:spacing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D22F3D">
        <w:rPr>
          <w:rFonts w:ascii="Times New Roman" w:hAnsi="Times New Roman" w:cs="Times New Roman"/>
          <w:b/>
          <w:sz w:val="24"/>
          <w:szCs w:val="24"/>
        </w:rPr>
        <w:t xml:space="preserve">§ 2º </w:t>
      </w:r>
      <w:r w:rsidRPr="00D22F3D">
        <w:rPr>
          <w:rFonts w:ascii="Times New Roman" w:hAnsi="Times New Roman" w:cs="Times New Roman"/>
          <w:sz w:val="24"/>
          <w:szCs w:val="24"/>
        </w:rPr>
        <w:t>A reserva de contingência, como fonte de recursos para a abertura de créditos adicionais para outros eventos fiscais, não poderá exceder à previsão contida no Anexo, com exceção do último quadrimestre de 2027, a qual poderá ser utilizada livremente como fonte de recursos para a abertura de créditos adicionais.</w:t>
      </w:r>
    </w:p>
    <w:p w:rsidR="00D22F3D" w:rsidRPr="00D22F3D" w:rsidRDefault="00D22F3D" w:rsidP="00D22F3D">
      <w:pPr>
        <w:spacing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D22F3D">
        <w:rPr>
          <w:rFonts w:ascii="Times New Roman" w:hAnsi="Times New Roman" w:cs="Times New Roman"/>
          <w:b/>
          <w:sz w:val="24"/>
          <w:szCs w:val="24"/>
        </w:rPr>
        <w:t>Art. 8º</w:t>
      </w:r>
      <w:proofErr w:type="gramStart"/>
      <w:r w:rsidRPr="00D22F3D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gramEnd"/>
      <w:r w:rsidR="00F33379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D22F3D">
        <w:rPr>
          <w:rFonts w:ascii="Times New Roman" w:hAnsi="Times New Roman" w:cs="Times New Roman"/>
          <w:sz w:val="24"/>
          <w:szCs w:val="24"/>
        </w:rPr>
        <w:t>Para os efeitos do art. 16 da Lei Complementar n</w:t>
      </w:r>
      <w:r w:rsidRPr="00D22F3D">
        <w:rPr>
          <w:rFonts w:ascii="Times New Roman" w:hAnsi="Times New Roman" w:cs="Times New Roman"/>
          <w:sz w:val="24"/>
          <w:szCs w:val="24"/>
          <w:u w:val="single"/>
          <w:vertAlign w:val="superscript"/>
        </w:rPr>
        <w:t>o</w:t>
      </w:r>
      <w:r w:rsidRPr="00D22F3D">
        <w:rPr>
          <w:rFonts w:ascii="Times New Roman" w:hAnsi="Times New Roman" w:cs="Times New Roman"/>
          <w:sz w:val="24"/>
          <w:szCs w:val="24"/>
        </w:rPr>
        <w:t xml:space="preserve"> 101/2000:</w:t>
      </w:r>
    </w:p>
    <w:p w:rsidR="00D22F3D" w:rsidRPr="00D22F3D" w:rsidRDefault="00D22F3D" w:rsidP="00D22F3D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D22F3D">
        <w:rPr>
          <w:rFonts w:ascii="Times New Roman" w:hAnsi="Times New Roman" w:cs="Times New Roman"/>
          <w:b/>
          <w:sz w:val="24"/>
          <w:szCs w:val="24"/>
        </w:rPr>
        <w:t>I -</w:t>
      </w:r>
      <w:r w:rsidRPr="00D22F3D">
        <w:rPr>
          <w:rFonts w:ascii="Times New Roman" w:hAnsi="Times New Roman" w:cs="Times New Roman"/>
          <w:sz w:val="24"/>
          <w:szCs w:val="24"/>
        </w:rPr>
        <w:t xml:space="preserve"> integrará o processo administrativo de que trata o procedimento de desapropriação de imóveis urbanos a que se refere o § 3</w:t>
      </w:r>
      <w:r w:rsidRPr="00D22F3D">
        <w:rPr>
          <w:rFonts w:ascii="Times New Roman" w:hAnsi="Times New Roman" w:cs="Times New Roman"/>
          <w:sz w:val="24"/>
          <w:szCs w:val="24"/>
          <w:u w:val="words"/>
          <w:vertAlign w:val="superscript"/>
        </w:rPr>
        <w:t>o</w:t>
      </w:r>
      <w:r w:rsidRPr="00D22F3D">
        <w:rPr>
          <w:rFonts w:ascii="Times New Roman" w:hAnsi="Times New Roman" w:cs="Times New Roman"/>
          <w:sz w:val="24"/>
          <w:szCs w:val="24"/>
        </w:rPr>
        <w:t xml:space="preserve"> do art. 182 da Constituição, o impacto orçamentário e financeiro e a declaração do ordenador da despesa sobre a adequação orçamentária e financeira que embasa o processo;</w:t>
      </w:r>
    </w:p>
    <w:p w:rsidR="00D22F3D" w:rsidRPr="00D22F3D" w:rsidRDefault="00D22F3D" w:rsidP="00D22F3D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D22F3D">
        <w:rPr>
          <w:rFonts w:ascii="Times New Roman" w:hAnsi="Times New Roman" w:cs="Times New Roman"/>
          <w:b/>
          <w:sz w:val="24"/>
          <w:szCs w:val="24"/>
        </w:rPr>
        <w:t>II -</w:t>
      </w:r>
      <w:r w:rsidRPr="00D22F3D">
        <w:rPr>
          <w:rFonts w:ascii="Times New Roman" w:hAnsi="Times New Roman" w:cs="Times New Roman"/>
          <w:sz w:val="24"/>
          <w:szCs w:val="24"/>
        </w:rPr>
        <w:t xml:space="preserve"> entende-se como despesas irrelevantes, para fins do § 3</w:t>
      </w:r>
      <w:r w:rsidRPr="00D22F3D">
        <w:rPr>
          <w:rFonts w:ascii="Times New Roman" w:hAnsi="Times New Roman" w:cs="Times New Roman"/>
          <w:sz w:val="24"/>
          <w:szCs w:val="24"/>
          <w:u w:val="single"/>
          <w:vertAlign w:val="superscript"/>
        </w:rPr>
        <w:t>o</w:t>
      </w:r>
      <w:r w:rsidRPr="00D22F3D">
        <w:rPr>
          <w:rFonts w:ascii="Times New Roman" w:hAnsi="Times New Roman" w:cs="Times New Roman"/>
          <w:sz w:val="24"/>
          <w:szCs w:val="24"/>
        </w:rPr>
        <w:t>, do art. 16 da Lei Complementar nº. 101/2000 aquelas cujo valor não ultrapasse os limites a que se referem os incisos I, II e parágrafo único do art. 24 da Lei nº. 8.666/1993, com redação alterada pela Lei n</w:t>
      </w:r>
      <w:r w:rsidRPr="00D22F3D">
        <w:rPr>
          <w:rFonts w:ascii="Times New Roman" w:hAnsi="Times New Roman" w:cs="Times New Roman"/>
          <w:sz w:val="24"/>
          <w:szCs w:val="24"/>
          <w:u w:val="single"/>
          <w:vertAlign w:val="superscript"/>
        </w:rPr>
        <w:t>o</w:t>
      </w:r>
      <w:r w:rsidRPr="00D22F3D">
        <w:rPr>
          <w:rFonts w:ascii="Times New Roman" w:hAnsi="Times New Roman" w:cs="Times New Roman"/>
          <w:sz w:val="24"/>
          <w:szCs w:val="24"/>
        </w:rPr>
        <w:t xml:space="preserve"> 11.107/2005.</w:t>
      </w:r>
    </w:p>
    <w:p w:rsidR="00D22F3D" w:rsidRPr="00D22F3D" w:rsidRDefault="00D22F3D" w:rsidP="00D22F3D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D22F3D" w:rsidRPr="00D22F3D" w:rsidRDefault="00D22F3D" w:rsidP="00D22F3D">
      <w:pPr>
        <w:spacing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D22F3D">
        <w:rPr>
          <w:rFonts w:ascii="Times New Roman" w:hAnsi="Times New Roman" w:cs="Times New Roman"/>
          <w:b/>
          <w:sz w:val="24"/>
          <w:szCs w:val="24"/>
        </w:rPr>
        <w:t xml:space="preserve">Art. 9º </w:t>
      </w:r>
      <w:r w:rsidR="00F33379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D22F3D">
        <w:rPr>
          <w:rFonts w:ascii="Times New Roman" w:hAnsi="Times New Roman" w:cs="Times New Roman"/>
          <w:sz w:val="24"/>
          <w:szCs w:val="24"/>
        </w:rPr>
        <w:t>O Poder Executivo elaborará e publicará, até 30 (trinta) dias após a publicação da lei orçamentária, o cronograma de desembolso mensal para o exercício, nos termos do art. 8</w:t>
      </w:r>
      <w:r w:rsidRPr="00D22F3D">
        <w:rPr>
          <w:rFonts w:ascii="Times New Roman" w:hAnsi="Times New Roman" w:cs="Times New Roman"/>
          <w:sz w:val="24"/>
          <w:szCs w:val="24"/>
          <w:u w:val="single"/>
          <w:vertAlign w:val="superscript"/>
        </w:rPr>
        <w:t>o</w:t>
      </w:r>
      <w:r w:rsidRPr="00D22F3D">
        <w:rPr>
          <w:rFonts w:ascii="Times New Roman" w:hAnsi="Times New Roman" w:cs="Times New Roman"/>
          <w:sz w:val="24"/>
          <w:szCs w:val="24"/>
        </w:rPr>
        <w:t xml:space="preserve"> da Lei Complementar n</w:t>
      </w:r>
      <w:r w:rsidRPr="00D22F3D">
        <w:rPr>
          <w:rFonts w:ascii="Times New Roman" w:hAnsi="Times New Roman" w:cs="Times New Roman"/>
          <w:sz w:val="24"/>
          <w:szCs w:val="24"/>
          <w:u w:val="single"/>
          <w:vertAlign w:val="superscript"/>
        </w:rPr>
        <w:t>o</w:t>
      </w:r>
      <w:r w:rsidRPr="00D22F3D">
        <w:rPr>
          <w:rFonts w:ascii="Times New Roman" w:hAnsi="Times New Roman" w:cs="Times New Roman"/>
          <w:sz w:val="24"/>
          <w:szCs w:val="24"/>
        </w:rPr>
        <w:t xml:space="preserve"> 101/2000, com vistas a manter durante a execução orçamentária o equilíbrio entre as contas e a regularidade das operações orçamentárias. </w:t>
      </w:r>
    </w:p>
    <w:p w:rsidR="00D22F3D" w:rsidRPr="00D22F3D" w:rsidRDefault="00D22F3D" w:rsidP="00D22F3D">
      <w:pPr>
        <w:pStyle w:val="Ttulo2"/>
        <w:spacing w:after="0" w:line="276" w:lineRule="auto"/>
        <w:rPr>
          <w:bCs w:val="0"/>
          <w:color w:val="auto"/>
          <w:szCs w:val="24"/>
        </w:rPr>
      </w:pPr>
      <w:r w:rsidRPr="00D22F3D">
        <w:rPr>
          <w:bCs w:val="0"/>
          <w:color w:val="auto"/>
          <w:szCs w:val="24"/>
        </w:rPr>
        <w:t>Seção III</w:t>
      </w:r>
    </w:p>
    <w:p w:rsidR="00D22F3D" w:rsidRPr="00D22F3D" w:rsidRDefault="00D22F3D" w:rsidP="00D22F3D">
      <w:pPr>
        <w:spacing w:line="276" w:lineRule="auto"/>
        <w:jc w:val="center"/>
        <w:outlineLvl w:val="5"/>
        <w:rPr>
          <w:rFonts w:ascii="Times New Roman" w:hAnsi="Times New Roman" w:cs="Times New Roman"/>
          <w:b/>
          <w:sz w:val="24"/>
          <w:szCs w:val="24"/>
        </w:rPr>
      </w:pPr>
      <w:r w:rsidRPr="00D22F3D">
        <w:rPr>
          <w:rFonts w:ascii="Times New Roman" w:hAnsi="Times New Roman" w:cs="Times New Roman"/>
          <w:b/>
          <w:sz w:val="24"/>
          <w:szCs w:val="24"/>
        </w:rPr>
        <w:t>Dos Recursos Correspondentes às Dotações Orçamentárias Compreendidas nos Créditos Adicionais Destinados ao Poder Legislativo</w:t>
      </w:r>
    </w:p>
    <w:p w:rsidR="00D22F3D" w:rsidRPr="00D22F3D" w:rsidRDefault="00D22F3D" w:rsidP="00D22F3D">
      <w:pPr>
        <w:spacing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D22F3D">
        <w:rPr>
          <w:rFonts w:ascii="Times New Roman" w:hAnsi="Times New Roman" w:cs="Times New Roman"/>
          <w:b/>
          <w:sz w:val="24"/>
          <w:szCs w:val="24"/>
        </w:rPr>
        <w:t>Art. 10</w:t>
      </w:r>
      <w:r w:rsidR="00F33379">
        <w:rPr>
          <w:rFonts w:ascii="Times New Roman" w:hAnsi="Times New Roman" w:cs="Times New Roman"/>
          <w:b/>
          <w:sz w:val="24"/>
          <w:szCs w:val="24"/>
        </w:rPr>
        <w:t>º</w:t>
      </w:r>
      <w:r w:rsidRPr="00D22F3D">
        <w:rPr>
          <w:rFonts w:ascii="Times New Roman" w:hAnsi="Times New Roman" w:cs="Times New Roman"/>
          <w:sz w:val="24"/>
          <w:szCs w:val="24"/>
        </w:rPr>
        <w:t xml:space="preserve"> </w:t>
      </w:r>
      <w:r w:rsidR="00F33379">
        <w:rPr>
          <w:rFonts w:ascii="Times New Roman" w:hAnsi="Times New Roman" w:cs="Times New Roman"/>
          <w:sz w:val="24"/>
          <w:szCs w:val="24"/>
        </w:rPr>
        <w:t xml:space="preserve">- </w:t>
      </w:r>
      <w:r w:rsidRPr="00D22F3D">
        <w:rPr>
          <w:rFonts w:ascii="Times New Roman" w:hAnsi="Times New Roman" w:cs="Times New Roman"/>
          <w:sz w:val="24"/>
          <w:szCs w:val="24"/>
        </w:rPr>
        <w:t xml:space="preserve">O Poder Legislativo do Município terá como limite de despesas em 2027, para efeito de elaboração de sua respectiva proposta orçamentária, a aplicação do percentual de 7% (sete por cento) sobre a receita tributária e de transferências tributárias do Município arrecadadas em 2025, nos termos do art. 29-A da Constituição da República, </w:t>
      </w:r>
      <w:r w:rsidRPr="00D22F3D">
        <w:rPr>
          <w:rFonts w:ascii="Times New Roman" w:hAnsi="Times New Roman" w:cs="Times New Roman"/>
          <w:sz w:val="24"/>
          <w:szCs w:val="24"/>
        </w:rPr>
        <w:lastRenderedPageBreak/>
        <w:t>acrescidos dos valores relativos aos inativos e pensionistas pagos diretamente por aquele Poder.</w:t>
      </w:r>
    </w:p>
    <w:p w:rsidR="00D22F3D" w:rsidRPr="00D22F3D" w:rsidRDefault="00D22F3D" w:rsidP="00D22F3D">
      <w:pPr>
        <w:spacing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D22F3D">
        <w:rPr>
          <w:rFonts w:ascii="Times New Roman" w:hAnsi="Times New Roman" w:cs="Times New Roman"/>
          <w:b/>
          <w:sz w:val="24"/>
          <w:szCs w:val="24"/>
        </w:rPr>
        <w:t>Parágrafo único.</w:t>
      </w:r>
      <w:r w:rsidRPr="00D22F3D">
        <w:rPr>
          <w:rFonts w:ascii="Times New Roman" w:hAnsi="Times New Roman" w:cs="Times New Roman"/>
          <w:sz w:val="24"/>
          <w:szCs w:val="24"/>
        </w:rPr>
        <w:t xml:space="preserve"> Em caso da não-elaboração do cronograma de desembolso, os repasses ao Legislativo (duodécimos) se darão na forma de parcelas mensais iguais e sucessivas, respeitados, igualmente, os limites de que trata o </w:t>
      </w:r>
      <w:r w:rsidRPr="00D22F3D">
        <w:rPr>
          <w:rFonts w:ascii="Times New Roman" w:hAnsi="Times New Roman" w:cs="Times New Roman"/>
          <w:i/>
          <w:iCs/>
          <w:sz w:val="24"/>
          <w:szCs w:val="24"/>
        </w:rPr>
        <w:t>caput</w:t>
      </w:r>
      <w:r w:rsidRPr="00D22F3D">
        <w:rPr>
          <w:rFonts w:ascii="Times New Roman" w:hAnsi="Times New Roman" w:cs="Times New Roman"/>
          <w:sz w:val="24"/>
          <w:szCs w:val="24"/>
        </w:rPr>
        <w:t xml:space="preserve"> deste artigo.</w:t>
      </w:r>
    </w:p>
    <w:p w:rsidR="00D22F3D" w:rsidRPr="00D22F3D" w:rsidRDefault="00D22F3D" w:rsidP="00D22F3D">
      <w:pPr>
        <w:pStyle w:val="Rodap"/>
        <w:spacing w:line="276" w:lineRule="auto"/>
        <w:ind w:firstLine="1418"/>
        <w:jc w:val="both"/>
      </w:pPr>
      <w:r w:rsidRPr="00D22F3D">
        <w:rPr>
          <w:b/>
        </w:rPr>
        <w:t>Art. 11</w:t>
      </w:r>
      <w:r w:rsidR="00F33379">
        <w:rPr>
          <w:b/>
          <w:lang w:val="pt-BR"/>
        </w:rPr>
        <w:t>º -</w:t>
      </w:r>
      <w:r w:rsidRPr="00D22F3D">
        <w:t xml:space="preserve"> O repasse financeiro relativo aos créditos orçamentários e adicionais será feito diretamente em conta bancária indicada pelo Poder Legislativo.</w:t>
      </w:r>
    </w:p>
    <w:p w:rsidR="00D22F3D" w:rsidRPr="00D22F3D" w:rsidRDefault="00D22F3D" w:rsidP="00D22F3D">
      <w:pPr>
        <w:spacing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D22F3D">
        <w:rPr>
          <w:rFonts w:ascii="Times New Roman" w:hAnsi="Times New Roman" w:cs="Times New Roman"/>
          <w:b/>
          <w:sz w:val="24"/>
          <w:szCs w:val="24"/>
        </w:rPr>
        <w:t>Parágrafo único.</w:t>
      </w:r>
      <w:r w:rsidRPr="00D22F3D">
        <w:rPr>
          <w:rFonts w:ascii="Times New Roman" w:hAnsi="Times New Roman" w:cs="Times New Roman"/>
          <w:sz w:val="24"/>
          <w:szCs w:val="24"/>
        </w:rPr>
        <w:t xml:space="preserve"> Ao final do exercício financeiro o saldo de recursos em disponibilidade do Legislativo será devolvido ao Poder Executivo, deduzidos os valores correspondentes ao saldo do passivo financeiro, considerando-se somente as contas do Poder Legislativo ou contabilizado como adiantamento de repasses do próximo exercício.</w:t>
      </w:r>
    </w:p>
    <w:p w:rsidR="00D22F3D" w:rsidRPr="00D22F3D" w:rsidRDefault="00D22F3D" w:rsidP="00D22F3D">
      <w:pPr>
        <w:spacing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D22F3D">
        <w:rPr>
          <w:rFonts w:ascii="Times New Roman" w:hAnsi="Times New Roman" w:cs="Times New Roman"/>
          <w:b/>
          <w:sz w:val="24"/>
          <w:szCs w:val="24"/>
        </w:rPr>
        <w:t>Art. 12</w:t>
      </w:r>
      <w:r w:rsidR="005F7780">
        <w:rPr>
          <w:rFonts w:ascii="Times New Roman" w:hAnsi="Times New Roman" w:cs="Times New Roman"/>
          <w:b/>
          <w:sz w:val="24"/>
          <w:szCs w:val="24"/>
        </w:rPr>
        <w:t>º</w:t>
      </w:r>
      <w:r w:rsidRPr="00D22F3D">
        <w:rPr>
          <w:rFonts w:ascii="Times New Roman" w:hAnsi="Times New Roman" w:cs="Times New Roman"/>
          <w:sz w:val="24"/>
          <w:szCs w:val="24"/>
        </w:rPr>
        <w:t xml:space="preserve"> </w:t>
      </w:r>
      <w:r w:rsidR="005F7780">
        <w:rPr>
          <w:rFonts w:ascii="Times New Roman" w:hAnsi="Times New Roman" w:cs="Times New Roman"/>
          <w:sz w:val="24"/>
          <w:szCs w:val="24"/>
        </w:rPr>
        <w:t>-</w:t>
      </w:r>
      <w:r w:rsidRPr="00D22F3D">
        <w:rPr>
          <w:rFonts w:ascii="Times New Roman" w:hAnsi="Times New Roman" w:cs="Times New Roman"/>
          <w:sz w:val="24"/>
          <w:szCs w:val="24"/>
        </w:rPr>
        <w:t>A execução orçamentária do Legislativo será independente, mas integrada ao Executivo para fins de contabilização.</w:t>
      </w:r>
    </w:p>
    <w:p w:rsidR="00D22F3D" w:rsidRPr="00D22F3D" w:rsidRDefault="00D22F3D" w:rsidP="00D22F3D">
      <w:pPr>
        <w:pStyle w:val="Ttulo5"/>
        <w:spacing w:after="0" w:line="276" w:lineRule="auto"/>
        <w:ind w:left="576" w:firstLine="0"/>
        <w:rPr>
          <w:bCs w:val="0"/>
          <w:szCs w:val="24"/>
        </w:rPr>
      </w:pPr>
      <w:r w:rsidRPr="00D22F3D">
        <w:rPr>
          <w:bCs w:val="0"/>
          <w:szCs w:val="24"/>
        </w:rPr>
        <w:t>Seção IV</w:t>
      </w:r>
    </w:p>
    <w:p w:rsidR="00D22F3D" w:rsidRPr="00D22F3D" w:rsidRDefault="00D22F3D" w:rsidP="00D22F3D">
      <w:pPr>
        <w:spacing w:line="276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2F3D">
        <w:rPr>
          <w:rFonts w:ascii="Times New Roman" w:hAnsi="Times New Roman" w:cs="Times New Roman"/>
          <w:b/>
          <w:sz w:val="24"/>
          <w:szCs w:val="24"/>
        </w:rPr>
        <w:t>Da Disposição Sobre Novos Projetos</w:t>
      </w:r>
    </w:p>
    <w:p w:rsidR="00D22F3D" w:rsidRPr="00D22F3D" w:rsidRDefault="00D22F3D" w:rsidP="00D22F3D">
      <w:pPr>
        <w:spacing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D22F3D">
        <w:rPr>
          <w:rFonts w:ascii="Times New Roman" w:hAnsi="Times New Roman" w:cs="Times New Roman"/>
          <w:b/>
          <w:sz w:val="24"/>
          <w:szCs w:val="24"/>
        </w:rPr>
        <w:t>Art. 13</w:t>
      </w:r>
      <w:r w:rsidR="005F7780">
        <w:rPr>
          <w:rFonts w:ascii="Times New Roman" w:hAnsi="Times New Roman" w:cs="Times New Roman"/>
          <w:b/>
          <w:sz w:val="24"/>
          <w:szCs w:val="24"/>
        </w:rPr>
        <w:t>º -</w:t>
      </w:r>
      <w:r w:rsidRPr="00D22F3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22F3D">
        <w:rPr>
          <w:rFonts w:ascii="Times New Roman" w:hAnsi="Times New Roman" w:cs="Times New Roman"/>
          <w:sz w:val="24"/>
          <w:szCs w:val="24"/>
        </w:rPr>
        <w:t xml:space="preserve">Além da observância dos objetivos e metas de que trata esta Lei, a lei orçamentária e seus créditos adicionais, somente incluirão projetos novos após: </w:t>
      </w:r>
    </w:p>
    <w:p w:rsidR="00D22F3D" w:rsidRPr="00D22F3D" w:rsidRDefault="00D22F3D" w:rsidP="00D22F3D">
      <w:pPr>
        <w:spacing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D22F3D">
        <w:rPr>
          <w:rFonts w:ascii="Times New Roman" w:hAnsi="Times New Roman" w:cs="Times New Roman"/>
          <w:b/>
          <w:sz w:val="24"/>
          <w:szCs w:val="24"/>
        </w:rPr>
        <w:t>I -</w:t>
      </w:r>
      <w:r w:rsidRPr="00D22F3D">
        <w:rPr>
          <w:rFonts w:ascii="Times New Roman" w:hAnsi="Times New Roman" w:cs="Times New Roman"/>
          <w:sz w:val="24"/>
          <w:szCs w:val="24"/>
        </w:rPr>
        <w:t xml:space="preserve"> tiverem sido adequadamente contemplados todos os projetos em andamento com recursos necessários ao término ou a obtenção de uma unidade completa;</w:t>
      </w:r>
    </w:p>
    <w:p w:rsidR="00D22F3D" w:rsidRPr="00D22F3D" w:rsidRDefault="00D22F3D" w:rsidP="00D22F3D">
      <w:pPr>
        <w:spacing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D22F3D">
        <w:rPr>
          <w:rFonts w:ascii="Times New Roman" w:hAnsi="Times New Roman" w:cs="Times New Roman"/>
          <w:b/>
          <w:sz w:val="24"/>
          <w:szCs w:val="24"/>
        </w:rPr>
        <w:t>II –</w:t>
      </w:r>
      <w:r w:rsidRPr="00D22F3D">
        <w:rPr>
          <w:rFonts w:ascii="Times New Roman" w:hAnsi="Times New Roman" w:cs="Times New Roman"/>
          <w:sz w:val="24"/>
          <w:szCs w:val="24"/>
        </w:rPr>
        <w:t xml:space="preserve"> estiverem assegurados os recursos de manutenção do patrimônio público e, efetivamente, o Poder Público estiver adotando as medidas necessárias para tanto.</w:t>
      </w:r>
    </w:p>
    <w:p w:rsidR="00D22F3D" w:rsidRPr="00D22F3D" w:rsidRDefault="00D22F3D" w:rsidP="00D22F3D">
      <w:pPr>
        <w:spacing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D22F3D">
        <w:rPr>
          <w:rFonts w:ascii="Times New Roman" w:hAnsi="Times New Roman" w:cs="Times New Roman"/>
          <w:b/>
          <w:sz w:val="24"/>
          <w:szCs w:val="24"/>
        </w:rPr>
        <w:t>§ 1</w:t>
      </w:r>
      <w:r w:rsidRPr="00D22F3D">
        <w:rPr>
          <w:rFonts w:ascii="Times New Roman" w:hAnsi="Times New Roman" w:cs="Times New Roman"/>
          <w:b/>
          <w:sz w:val="24"/>
          <w:szCs w:val="24"/>
          <w:u w:val="single"/>
          <w:vertAlign w:val="superscript"/>
        </w:rPr>
        <w:t>o</w:t>
      </w:r>
      <w:r w:rsidRPr="00D22F3D">
        <w:rPr>
          <w:rFonts w:ascii="Times New Roman" w:hAnsi="Times New Roman" w:cs="Times New Roman"/>
          <w:sz w:val="24"/>
          <w:szCs w:val="24"/>
        </w:rPr>
        <w:t xml:space="preserve"> Não constitui infração a este artigo o início de novo projeto, mesmo possuindo outros projetos em andamento, caso haja suficiente previsão de recursos orçamentários e financeiros para o atendimento dos projetos em andamento e novos.</w:t>
      </w:r>
    </w:p>
    <w:p w:rsidR="00D22F3D" w:rsidRPr="00D22F3D" w:rsidRDefault="00D22F3D" w:rsidP="00D22F3D">
      <w:pPr>
        <w:spacing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D22F3D">
        <w:rPr>
          <w:rFonts w:ascii="Times New Roman" w:hAnsi="Times New Roman" w:cs="Times New Roman"/>
          <w:b/>
          <w:sz w:val="24"/>
          <w:szCs w:val="24"/>
        </w:rPr>
        <w:t>§ 2</w:t>
      </w:r>
      <w:r w:rsidRPr="00D22F3D">
        <w:rPr>
          <w:rFonts w:ascii="Times New Roman" w:hAnsi="Times New Roman" w:cs="Times New Roman"/>
          <w:b/>
          <w:sz w:val="24"/>
          <w:szCs w:val="24"/>
          <w:u w:val="single"/>
          <w:vertAlign w:val="superscript"/>
        </w:rPr>
        <w:t>o</w:t>
      </w:r>
      <w:r w:rsidRPr="00D22F3D">
        <w:rPr>
          <w:rFonts w:ascii="Times New Roman" w:hAnsi="Times New Roman" w:cs="Times New Roman"/>
          <w:sz w:val="24"/>
          <w:szCs w:val="24"/>
        </w:rPr>
        <w:t xml:space="preserve"> O Sistema de Controle Interno fiscalizará e demonstrará o cumprimento do parágrafo único do art. 45 da Lei Complementar nº. 101/2000.</w:t>
      </w:r>
    </w:p>
    <w:p w:rsidR="00D22F3D" w:rsidRPr="00D22F3D" w:rsidRDefault="00D22F3D" w:rsidP="00D22F3D">
      <w:pPr>
        <w:spacing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D22F3D">
        <w:rPr>
          <w:rFonts w:ascii="Times New Roman" w:hAnsi="Times New Roman" w:cs="Times New Roman"/>
          <w:b/>
          <w:sz w:val="24"/>
          <w:szCs w:val="24"/>
        </w:rPr>
        <w:t>§ 3</w:t>
      </w:r>
      <w:r w:rsidRPr="00D22F3D">
        <w:rPr>
          <w:rFonts w:ascii="Times New Roman" w:hAnsi="Times New Roman" w:cs="Times New Roman"/>
          <w:b/>
          <w:sz w:val="24"/>
          <w:szCs w:val="24"/>
          <w:u w:val="single"/>
          <w:vertAlign w:val="superscript"/>
        </w:rPr>
        <w:t>o</w:t>
      </w:r>
      <w:r w:rsidRPr="00D22F3D">
        <w:rPr>
          <w:rFonts w:ascii="Times New Roman" w:hAnsi="Times New Roman" w:cs="Times New Roman"/>
          <w:sz w:val="24"/>
          <w:szCs w:val="24"/>
        </w:rPr>
        <w:t xml:space="preserve"> É condição para o início de projetos, devendo constar do procedimento de que trata o art. 38 da Lei nº. 8.666/93, o atendimento ao art. 45 da Lei de Responsabilidade Fiscal.</w:t>
      </w:r>
    </w:p>
    <w:p w:rsidR="00D22F3D" w:rsidRPr="00D22F3D" w:rsidRDefault="00D22F3D" w:rsidP="00D22F3D">
      <w:pPr>
        <w:spacing w:line="276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2F3D">
        <w:rPr>
          <w:rFonts w:ascii="Times New Roman" w:hAnsi="Times New Roman" w:cs="Times New Roman"/>
          <w:b/>
          <w:sz w:val="24"/>
          <w:szCs w:val="24"/>
        </w:rPr>
        <w:t>Seção V</w:t>
      </w:r>
    </w:p>
    <w:p w:rsidR="00D22F3D" w:rsidRPr="00D22F3D" w:rsidRDefault="00D22F3D" w:rsidP="00D22F3D">
      <w:pPr>
        <w:pStyle w:val="Ttulo5"/>
        <w:keepNext w:val="0"/>
        <w:spacing w:after="0" w:line="276" w:lineRule="auto"/>
        <w:ind w:left="709" w:firstLine="0"/>
        <w:rPr>
          <w:bCs w:val="0"/>
          <w:szCs w:val="24"/>
        </w:rPr>
      </w:pPr>
      <w:r w:rsidRPr="00D22F3D">
        <w:rPr>
          <w:bCs w:val="0"/>
          <w:szCs w:val="24"/>
        </w:rPr>
        <w:t>Das Transferências de Recursos para o Setor Privado</w:t>
      </w:r>
    </w:p>
    <w:p w:rsidR="00D22F3D" w:rsidRPr="00D22F3D" w:rsidRDefault="00D22F3D" w:rsidP="00D22F3D">
      <w:pPr>
        <w:spacing w:line="276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2F3D">
        <w:rPr>
          <w:rFonts w:ascii="Times New Roman" w:hAnsi="Times New Roman" w:cs="Times New Roman"/>
          <w:b/>
          <w:sz w:val="24"/>
          <w:szCs w:val="24"/>
        </w:rPr>
        <w:t>Subseção I</w:t>
      </w:r>
    </w:p>
    <w:p w:rsidR="00D22F3D" w:rsidRPr="00D22F3D" w:rsidRDefault="00D22F3D" w:rsidP="00D22F3D">
      <w:pPr>
        <w:spacing w:line="276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2F3D">
        <w:rPr>
          <w:rFonts w:ascii="Times New Roman" w:hAnsi="Times New Roman" w:cs="Times New Roman"/>
          <w:b/>
          <w:sz w:val="24"/>
          <w:szCs w:val="24"/>
        </w:rPr>
        <w:t>Dos Recursos Destinados a Entidades Privadas sem Fins Lucrativos</w:t>
      </w:r>
    </w:p>
    <w:p w:rsidR="00D22F3D" w:rsidRPr="00D22F3D" w:rsidRDefault="00D22F3D" w:rsidP="00D22F3D">
      <w:pPr>
        <w:spacing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D22F3D">
        <w:rPr>
          <w:rFonts w:ascii="Times New Roman" w:hAnsi="Times New Roman" w:cs="Times New Roman"/>
          <w:b/>
          <w:sz w:val="24"/>
          <w:szCs w:val="24"/>
        </w:rPr>
        <w:lastRenderedPageBreak/>
        <w:t>Art. 14</w:t>
      </w:r>
      <w:r w:rsidR="005F7780">
        <w:rPr>
          <w:rFonts w:ascii="Times New Roman" w:hAnsi="Times New Roman" w:cs="Times New Roman"/>
          <w:b/>
          <w:sz w:val="24"/>
          <w:szCs w:val="24"/>
        </w:rPr>
        <w:t>º -</w:t>
      </w:r>
      <w:r w:rsidRPr="00D22F3D">
        <w:rPr>
          <w:rFonts w:ascii="Times New Roman" w:hAnsi="Times New Roman" w:cs="Times New Roman"/>
          <w:sz w:val="24"/>
          <w:szCs w:val="24"/>
        </w:rPr>
        <w:t xml:space="preserve"> É vedada a inclusão, na lei orçamentária e em seus créditos adicionais, de dotações a título de subvenções sociais, ressalvadas aquelas destinadas a entidades privadas sem fins lucrativos de atividades de natureza continuada, que preencham uma das seguintes condições: </w:t>
      </w:r>
    </w:p>
    <w:p w:rsidR="00D22F3D" w:rsidRPr="00D22F3D" w:rsidRDefault="00D22F3D" w:rsidP="00D22F3D">
      <w:pPr>
        <w:spacing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D22F3D">
        <w:rPr>
          <w:rFonts w:ascii="Times New Roman" w:hAnsi="Times New Roman" w:cs="Times New Roman"/>
          <w:b/>
          <w:sz w:val="24"/>
          <w:szCs w:val="24"/>
        </w:rPr>
        <w:t>I -</w:t>
      </w:r>
      <w:r w:rsidRPr="00D22F3D">
        <w:rPr>
          <w:rFonts w:ascii="Times New Roman" w:hAnsi="Times New Roman" w:cs="Times New Roman"/>
          <w:sz w:val="24"/>
          <w:szCs w:val="24"/>
        </w:rPr>
        <w:t xml:space="preserve"> sejam de atendimento direto ao público, de forma gratuita, nas áreas de assistência social, saúde, educação, cultura ou desporto e entidades representativas de classe e organizações sociais e estejam registradas nas Secretarias Municipais correspondentes; </w:t>
      </w:r>
    </w:p>
    <w:p w:rsidR="00D22F3D" w:rsidRPr="00D22F3D" w:rsidRDefault="00D22F3D" w:rsidP="00D22F3D">
      <w:pPr>
        <w:spacing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D22F3D">
        <w:rPr>
          <w:rFonts w:ascii="Times New Roman" w:hAnsi="Times New Roman" w:cs="Times New Roman"/>
          <w:b/>
          <w:sz w:val="24"/>
          <w:szCs w:val="24"/>
        </w:rPr>
        <w:t>II -</w:t>
      </w:r>
      <w:r w:rsidRPr="00D22F3D">
        <w:rPr>
          <w:rFonts w:ascii="Times New Roman" w:hAnsi="Times New Roman" w:cs="Times New Roman"/>
          <w:sz w:val="24"/>
          <w:szCs w:val="24"/>
        </w:rPr>
        <w:t xml:space="preserve"> sejam vinculadas a organismos de natureza filantrópica, institucional ou assistencial; </w:t>
      </w:r>
    </w:p>
    <w:p w:rsidR="00D22F3D" w:rsidRPr="00D22F3D" w:rsidRDefault="00D22F3D" w:rsidP="00D22F3D">
      <w:pPr>
        <w:spacing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D22F3D">
        <w:rPr>
          <w:rFonts w:ascii="Times New Roman" w:hAnsi="Times New Roman" w:cs="Times New Roman"/>
          <w:b/>
          <w:sz w:val="24"/>
          <w:szCs w:val="24"/>
        </w:rPr>
        <w:t>III –</w:t>
      </w:r>
      <w:r w:rsidRPr="00D22F3D">
        <w:rPr>
          <w:rFonts w:ascii="Times New Roman" w:hAnsi="Times New Roman" w:cs="Times New Roman"/>
          <w:sz w:val="24"/>
          <w:szCs w:val="24"/>
        </w:rPr>
        <w:t xml:space="preserve"> sejam incluídas no programa municipal de incentivo a melhorias de espaços comunitários.</w:t>
      </w:r>
    </w:p>
    <w:p w:rsidR="00D22F3D" w:rsidRPr="00D22F3D" w:rsidRDefault="00D22F3D" w:rsidP="00D22F3D">
      <w:pPr>
        <w:spacing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D22F3D">
        <w:rPr>
          <w:rFonts w:ascii="Times New Roman" w:hAnsi="Times New Roman" w:cs="Times New Roman"/>
          <w:b/>
          <w:sz w:val="24"/>
          <w:szCs w:val="24"/>
        </w:rPr>
        <w:t>Art. 15</w:t>
      </w:r>
      <w:r w:rsidR="005F7780">
        <w:rPr>
          <w:rFonts w:ascii="Times New Roman" w:hAnsi="Times New Roman" w:cs="Times New Roman"/>
          <w:b/>
          <w:sz w:val="24"/>
          <w:szCs w:val="24"/>
        </w:rPr>
        <w:t>º -</w:t>
      </w:r>
      <w:r w:rsidRPr="00D22F3D">
        <w:rPr>
          <w:rFonts w:ascii="Times New Roman" w:hAnsi="Times New Roman" w:cs="Times New Roman"/>
          <w:sz w:val="24"/>
          <w:szCs w:val="24"/>
        </w:rPr>
        <w:t xml:space="preserve"> Fica autorizada a inclusão de dotações, na lei orçamentária e em seus créditos adicionais, para entidades privadas sem fins lucrativos e desde que atendam a uma das seguintes características: </w:t>
      </w:r>
    </w:p>
    <w:p w:rsidR="00D22F3D" w:rsidRPr="00D22F3D" w:rsidRDefault="00D22F3D" w:rsidP="00D22F3D">
      <w:pPr>
        <w:spacing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D22F3D">
        <w:rPr>
          <w:rFonts w:ascii="Times New Roman" w:hAnsi="Times New Roman" w:cs="Times New Roman"/>
          <w:b/>
          <w:sz w:val="24"/>
          <w:szCs w:val="24"/>
        </w:rPr>
        <w:t>I –</w:t>
      </w:r>
      <w:r w:rsidRPr="00D22F3D">
        <w:rPr>
          <w:rFonts w:ascii="Times New Roman" w:hAnsi="Times New Roman" w:cs="Times New Roman"/>
          <w:sz w:val="24"/>
          <w:szCs w:val="24"/>
        </w:rPr>
        <w:t xml:space="preserve"> sejam de atendimento a atividades educacionais, de saúde, assistenciais, culturais, relacionadas à agricultura e à pecuária, meio ambiente ou desportiva, devidamente cadastrada junto às Secretarias Municipais correspondentes; </w:t>
      </w:r>
    </w:p>
    <w:p w:rsidR="00D22F3D" w:rsidRPr="00D22F3D" w:rsidRDefault="00D22F3D" w:rsidP="00D22F3D">
      <w:pPr>
        <w:pStyle w:val="Ttulo8"/>
        <w:spacing w:before="0" w:beforeAutospacing="0" w:after="0" w:afterAutospacing="0" w:line="276" w:lineRule="auto"/>
        <w:ind w:firstLine="1418"/>
        <w:jc w:val="both"/>
        <w:rPr>
          <w:rFonts w:ascii="Times New Roman" w:hAnsi="Times New Roman"/>
        </w:rPr>
      </w:pPr>
      <w:r w:rsidRPr="00D22F3D">
        <w:rPr>
          <w:rFonts w:ascii="Times New Roman" w:hAnsi="Times New Roman"/>
          <w:b/>
        </w:rPr>
        <w:t>II -</w:t>
      </w:r>
      <w:r w:rsidRPr="00D22F3D">
        <w:rPr>
          <w:rFonts w:ascii="Times New Roman" w:hAnsi="Times New Roman"/>
        </w:rPr>
        <w:t xml:space="preserve"> consórcios intermunicipais, constituídos por lei e exclusivamente por entes públicos;</w:t>
      </w:r>
    </w:p>
    <w:p w:rsidR="00D22F3D" w:rsidRPr="00D22F3D" w:rsidRDefault="00D22F3D" w:rsidP="00D22F3D">
      <w:pPr>
        <w:spacing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D22F3D">
        <w:rPr>
          <w:rFonts w:ascii="Times New Roman" w:hAnsi="Times New Roman" w:cs="Times New Roman"/>
          <w:b/>
          <w:sz w:val="24"/>
          <w:szCs w:val="24"/>
        </w:rPr>
        <w:t>III -</w:t>
      </w:r>
      <w:r w:rsidRPr="00D22F3D">
        <w:rPr>
          <w:rFonts w:ascii="Times New Roman" w:hAnsi="Times New Roman" w:cs="Times New Roman"/>
          <w:sz w:val="24"/>
          <w:szCs w:val="24"/>
        </w:rPr>
        <w:t xml:space="preserve"> qualificadas como Organização da Sociedade Civil de Interesse Público – OSCIP.</w:t>
      </w:r>
    </w:p>
    <w:p w:rsidR="00D22F3D" w:rsidRPr="00D22F3D" w:rsidRDefault="00D22F3D" w:rsidP="00D22F3D">
      <w:pPr>
        <w:spacing w:line="276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2F3D">
        <w:rPr>
          <w:rFonts w:ascii="Times New Roman" w:hAnsi="Times New Roman" w:cs="Times New Roman"/>
          <w:b/>
          <w:sz w:val="24"/>
          <w:szCs w:val="24"/>
        </w:rPr>
        <w:t>Subseção II</w:t>
      </w:r>
    </w:p>
    <w:p w:rsidR="00D22F3D" w:rsidRPr="00D22F3D" w:rsidRDefault="00D22F3D" w:rsidP="00D22F3D">
      <w:pPr>
        <w:spacing w:line="276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2F3D">
        <w:rPr>
          <w:rFonts w:ascii="Times New Roman" w:hAnsi="Times New Roman" w:cs="Times New Roman"/>
          <w:b/>
          <w:sz w:val="24"/>
          <w:szCs w:val="24"/>
        </w:rPr>
        <w:t>Das Transferências às Pessoas Físicas e Jurídicas</w:t>
      </w:r>
    </w:p>
    <w:p w:rsidR="00D22F3D" w:rsidRPr="00D22F3D" w:rsidRDefault="00D22F3D" w:rsidP="00D22F3D">
      <w:pPr>
        <w:spacing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D22F3D">
        <w:rPr>
          <w:rFonts w:ascii="Times New Roman" w:hAnsi="Times New Roman" w:cs="Times New Roman"/>
          <w:b/>
          <w:sz w:val="24"/>
          <w:szCs w:val="24"/>
        </w:rPr>
        <w:t>Art. 16</w:t>
      </w:r>
      <w:r w:rsidR="005F7780">
        <w:rPr>
          <w:rFonts w:ascii="Times New Roman" w:hAnsi="Times New Roman" w:cs="Times New Roman"/>
          <w:b/>
          <w:sz w:val="24"/>
          <w:szCs w:val="24"/>
        </w:rPr>
        <w:t>º -</w:t>
      </w:r>
      <w:r w:rsidRPr="00D22F3D">
        <w:rPr>
          <w:rFonts w:ascii="Times New Roman" w:hAnsi="Times New Roman" w:cs="Times New Roman"/>
          <w:sz w:val="24"/>
          <w:szCs w:val="24"/>
        </w:rPr>
        <w:t xml:space="preserve"> Fica o Poder Executivo Municipal autorizado a atender necessidades de pessoas físicas, através dos programas instituídos de assistência social, saúde, agricultura, desporto, turismo e educação, desde que aprovadas pelo respectivo Conselho Municipal.</w:t>
      </w:r>
    </w:p>
    <w:p w:rsidR="00D22F3D" w:rsidRPr="00D22F3D" w:rsidRDefault="00D22F3D" w:rsidP="00D22F3D">
      <w:pPr>
        <w:spacing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D22F3D">
        <w:rPr>
          <w:rFonts w:ascii="Times New Roman" w:hAnsi="Times New Roman" w:cs="Times New Roman"/>
          <w:b/>
          <w:sz w:val="24"/>
          <w:szCs w:val="24"/>
        </w:rPr>
        <w:t>Art. 17</w:t>
      </w:r>
      <w:r w:rsidR="005F7780">
        <w:rPr>
          <w:rFonts w:ascii="Times New Roman" w:hAnsi="Times New Roman" w:cs="Times New Roman"/>
          <w:b/>
          <w:sz w:val="24"/>
          <w:szCs w:val="24"/>
        </w:rPr>
        <w:t>º -</w:t>
      </w:r>
      <w:r w:rsidRPr="00D22F3D">
        <w:rPr>
          <w:rFonts w:ascii="Times New Roman" w:hAnsi="Times New Roman" w:cs="Times New Roman"/>
          <w:sz w:val="24"/>
          <w:szCs w:val="24"/>
        </w:rPr>
        <w:t xml:space="preserve"> As transferências de recursos ou de benefícios a entidades privadas e as pessoas físicas, de acordo com o art. 26 da Lei Complementar nº. 101/2000 atenderão as exigências da lei municipal específica. </w:t>
      </w:r>
    </w:p>
    <w:p w:rsidR="00D22F3D" w:rsidRPr="00D22F3D" w:rsidRDefault="00D22F3D" w:rsidP="00D22F3D">
      <w:pPr>
        <w:spacing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D22F3D">
        <w:rPr>
          <w:rFonts w:ascii="Times New Roman" w:hAnsi="Times New Roman" w:cs="Times New Roman"/>
          <w:b/>
          <w:sz w:val="24"/>
          <w:szCs w:val="24"/>
        </w:rPr>
        <w:t>Parágrafo único.</w:t>
      </w:r>
      <w:r w:rsidRPr="00D22F3D">
        <w:rPr>
          <w:rFonts w:ascii="Times New Roman" w:hAnsi="Times New Roman" w:cs="Times New Roman"/>
          <w:sz w:val="24"/>
          <w:szCs w:val="24"/>
        </w:rPr>
        <w:t xml:space="preserve"> Os auxílios fornecidos a pessoas carentes obedecerão à legislação própria existente.</w:t>
      </w:r>
    </w:p>
    <w:p w:rsidR="00D22F3D" w:rsidRPr="00D22F3D" w:rsidRDefault="00D22F3D" w:rsidP="00D22F3D">
      <w:pPr>
        <w:spacing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D22F3D">
        <w:rPr>
          <w:rFonts w:ascii="Times New Roman" w:hAnsi="Times New Roman" w:cs="Times New Roman"/>
          <w:b/>
          <w:sz w:val="24"/>
          <w:szCs w:val="24"/>
        </w:rPr>
        <w:t>Art. 18</w:t>
      </w:r>
      <w:r w:rsidR="005F7780">
        <w:rPr>
          <w:rFonts w:ascii="Times New Roman" w:hAnsi="Times New Roman" w:cs="Times New Roman"/>
          <w:b/>
          <w:sz w:val="24"/>
          <w:szCs w:val="24"/>
        </w:rPr>
        <w:t>º -</w:t>
      </w:r>
      <w:r w:rsidRPr="00D22F3D">
        <w:rPr>
          <w:rFonts w:ascii="Times New Roman" w:hAnsi="Times New Roman" w:cs="Times New Roman"/>
          <w:sz w:val="24"/>
          <w:szCs w:val="24"/>
        </w:rPr>
        <w:t xml:space="preserve"> As transferências de recursos públicos para cobrir déficit das pessoas jurídicas, além das condições fiscais previstas no art. 14 da Lei de </w:t>
      </w:r>
      <w:r w:rsidRPr="00D22F3D">
        <w:rPr>
          <w:rFonts w:ascii="Times New Roman" w:hAnsi="Times New Roman" w:cs="Times New Roman"/>
          <w:sz w:val="24"/>
          <w:szCs w:val="24"/>
        </w:rPr>
        <w:lastRenderedPageBreak/>
        <w:t>Responsabilidade Fiscal, quando for o caso, deverão ser autorizadas por lei específica e, ainda, atender a uma das seguintes condições:</w:t>
      </w:r>
    </w:p>
    <w:p w:rsidR="00D22F3D" w:rsidRPr="00D22F3D" w:rsidRDefault="00D22F3D" w:rsidP="00D22F3D">
      <w:pPr>
        <w:spacing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D22F3D">
        <w:rPr>
          <w:rFonts w:ascii="Times New Roman" w:hAnsi="Times New Roman" w:cs="Times New Roman"/>
          <w:b/>
          <w:sz w:val="24"/>
          <w:szCs w:val="24"/>
        </w:rPr>
        <w:t>I –</w:t>
      </w:r>
      <w:r w:rsidRPr="00D22F3D">
        <w:rPr>
          <w:rFonts w:ascii="Times New Roman" w:hAnsi="Times New Roman" w:cs="Times New Roman"/>
          <w:sz w:val="24"/>
          <w:szCs w:val="24"/>
        </w:rPr>
        <w:t xml:space="preserve"> necessidade de ser momentânea e recair sobre pessoa jurídica ou entidade cuja ausência de atuação do Poder Público possa justificar a sua extinção com repercussão social grave no Município, ou, ainda, representar prejuízo para o Município;</w:t>
      </w:r>
    </w:p>
    <w:p w:rsidR="00D22F3D" w:rsidRPr="00D22F3D" w:rsidRDefault="00D22F3D" w:rsidP="00D22F3D">
      <w:pPr>
        <w:spacing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D22F3D">
        <w:rPr>
          <w:rFonts w:ascii="Times New Roman" w:hAnsi="Times New Roman" w:cs="Times New Roman"/>
          <w:b/>
          <w:sz w:val="24"/>
          <w:szCs w:val="24"/>
        </w:rPr>
        <w:t>II –</w:t>
      </w:r>
      <w:r w:rsidRPr="00D22F3D">
        <w:rPr>
          <w:rFonts w:ascii="Times New Roman" w:hAnsi="Times New Roman" w:cs="Times New Roman"/>
          <w:sz w:val="24"/>
          <w:szCs w:val="24"/>
        </w:rPr>
        <w:t xml:space="preserve"> incentivo fiscal para instalação e manutenção de empresas industriais, comerciais e de serviços, nos termos do que já dispõe a Lei Municipal nº. 582/2004, de 15 de setembro de 2004 e suas alterações posteriores.</w:t>
      </w:r>
    </w:p>
    <w:p w:rsidR="00D22F3D" w:rsidRPr="00D22F3D" w:rsidRDefault="00D22F3D" w:rsidP="00D22F3D">
      <w:pPr>
        <w:spacing w:line="276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2F3D">
        <w:rPr>
          <w:rFonts w:ascii="Times New Roman" w:hAnsi="Times New Roman" w:cs="Times New Roman"/>
          <w:b/>
          <w:sz w:val="24"/>
          <w:szCs w:val="24"/>
        </w:rPr>
        <w:t>Seção VI</w:t>
      </w:r>
    </w:p>
    <w:p w:rsidR="00D22F3D" w:rsidRPr="00D22F3D" w:rsidRDefault="00D22F3D" w:rsidP="00D22F3D">
      <w:pPr>
        <w:pStyle w:val="Ttulo5"/>
        <w:spacing w:after="0" w:line="276" w:lineRule="auto"/>
        <w:ind w:left="576" w:firstLine="0"/>
        <w:rPr>
          <w:szCs w:val="24"/>
        </w:rPr>
      </w:pPr>
      <w:r w:rsidRPr="00D22F3D">
        <w:rPr>
          <w:szCs w:val="24"/>
        </w:rPr>
        <w:t>Dos Créditos Adicionais</w:t>
      </w:r>
    </w:p>
    <w:p w:rsidR="00D22F3D" w:rsidRPr="00D22F3D" w:rsidRDefault="00D22F3D" w:rsidP="00D22F3D">
      <w:pPr>
        <w:spacing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D22F3D">
        <w:rPr>
          <w:rFonts w:ascii="Times New Roman" w:hAnsi="Times New Roman" w:cs="Times New Roman"/>
          <w:b/>
          <w:sz w:val="24"/>
          <w:szCs w:val="24"/>
        </w:rPr>
        <w:t>Art. 19</w:t>
      </w:r>
      <w:r w:rsidR="005F7780">
        <w:rPr>
          <w:rFonts w:ascii="Times New Roman" w:hAnsi="Times New Roman" w:cs="Times New Roman"/>
          <w:b/>
          <w:sz w:val="24"/>
          <w:szCs w:val="24"/>
        </w:rPr>
        <w:t>º -</w:t>
      </w:r>
      <w:r w:rsidRPr="00D22F3D">
        <w:rPr>
          <w:rFonts w:ascii="Times New Roman" w:hAnsi="Times New Roman" w:cs="Times New Roman"/>
          <w:sz w:val="24"/>
          <w:szCs w:val="24"/>
        </w:rPr>
        <w:t xml:space="preserve"> Os projetos de lei relativos a créditos adicionais serão apresentados na forma e com o detalhamento estabelecido na lei orçamentária anual, observando-se o art. 12 da Lei Complementar n</w:t>
      </w:r>
      <w:r w:rsidRPr="00D22F3D">
        <w:rPr>
          <w:rFonts w:ascii="Times New Roman" w:hAnsi="Times New Roman" w:cs="Times New Roman"/>
          <w:sz w:val="24"/>
          <w:szCs w:val="24"/>
          <w:u w:val="single"/>
          <w:vertAlign w:val="superscript"/>
        </w:rPr>
        <w:t>o</w:t>
      </w:r>
      <w:r w:rsidRPr="00D22F3D">
        <w:rPr>
          <w:rFonts w:ascii="Times New Roman" w:hAnsi="Times New Roman" w:cs="Times New Roman"/>
          <w:sz w:val="24"/>
          <w:szCs w:val="24"/>
        </w:rPr>
        <w:t xml:space="preserve"> 101/2000.</w:t>
      </w:r>
    </w:p>
    <w:p w:rsidR="00D22F3D" w:rsidRPr="00D22F3D" w:rsidRDefault="00D22F3D" w:rsidP="00D22F3D">
      <w:pPr>
        <w:spacing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D22F3D">
        <w:rPr>
          <w:rFonts w:ascii="Times New Roman" w:hAnsi="Times New Roman" w:cs="Times New Roman"/>
          <w:b/>
          <w:sz w:val="24"/>
          <w:szCs w:val="24"/>
        </w:rPr>
        <w:t xml:space="preserve">§ 1º </w:t>
      </w:r>
      <w:r w:rsidRPr="00D22F3D">
        <w:rPr>
          <w:rFonts w:ascii="Times New Roman" w:hAnsi="Times New Roman" w:cs="Times New Roman"/>
          <w:sz w:val="24"/>
          <w:szCs w:val="24"/>
        </w:rPr>
        <w:t>Os créditos adicionais especiais e extraordinários, se abertos nos últimos 04 (quatro) meses do exercício imediatamente anterior, poderão ser reabertos, pelos seus saldos, no exercício a que se refere esta Lei, por decreto do Poder Executivo, mediante a indicação de recursos do exercício em que o crédito for aberto.</w:t>
      </w:r>
    </w:p>
    <w:p w:rsidR="00D22F3D" w:rsidRPr="00D22F3D" w:rsidRDefault="00D22F3D" w:rsidP="00D22F3D">
      <w:pPr>
        <w:spacing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D22F3D">
        <w:rPr>
          <w:rFonts w:ascii="Times New Roman" w:hAnsi="Times New Roman" w:cs="Times New Roman"/>
          <w:b/>
          <w:sz w:val="24"/>
          <w:szCs w:val="24"/>
        </w:rPr>
        <w:t>§ 2º</w:t>
      </w:r>
      <w:r w:rsidRPr="00D22F3D">
        <w:rPr>
          <w:rFonts w:ascii="Times New Roman" w:hAnsi="Times New Roman" w:cs="Times New Roman"/>
          <w:sz w:val="24"/>
          <w:szCs w:val="24"/>
        </w:rPr>
        <w:t xml:space="preserve"> Acompanharão os projetos de lei relativos a créditos adicionais as exposições dos motivos que os justifiquem.</w:t>
      </w:r>
    </w:p>
    <w:p w:rsidR="00D22F3D" w:rsidRPr="00D22F3D" w:rsidRDefault="00D22F3D" w:rsidP="00D22F3D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2F3D">
        <w:rPr>
          <w:rFonts w:ascii="Times New Roman" w:hAnsi="Times New Roman" w:cs="Times New Roman"/>
          <w:b/>
          <w:sz w:val="24"/>
          <w:szCs w:val="24"/>
        </w:rPr>
        <w:t>Seção VII</w:t>
      </w:r>
    </w:p>
    <w:p w:rsidR="00D22F3D" w:rsidRPr="00D22F3D" w:rsidRDefault="00D22F3D" w:rsidP="00D22F3D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2F3D">
        <w:rPr>
          <w:rFonts w:ascii="Times New Roman" w:hAnsi="Times New Roman" w:cs="Times New Roman"/>
          <w:b/>
          <w:sz w:val="24"/>
          <w:szCs w:val="24"/>
        </w:rPr>
        <w:t>Transposição, Remanejamento e Transferência</w:t>
      </w:r>
    </w:p>
    <w:p w:rsidR="00D22F3D" w:rsidRPr="00D22F3D" w:rsidRDefault="005F7780" w:rsidP="00D22F3D">
      <w:pPr>
        <w:spacing w:line="276" w:lineRule="auto"/>
        <w:ind w:firstLine="141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Art. 20º -</w:t>
      </w:r>
      <w:r w:rsidR="00D22F3D" w:rsidRPr="00D22F3D">
        <w:rPr>
          <w:rFonts w:ascii="Times New Roman" w:hAnsi="Times New Roman" w:cs="Times New Roman"/>
          <w:sz w:val="24"/>
          <w:szCs w:val="24"/>
        </w:rPr>
        <w:t xml:space="preserve"> Fica o Poder Executivo, mediante decreto, autorizado a efetuar transposição, remanejamento e transferências de dotações orçamentárias.</w:t>
      </w:r>
    </w:p>
    <w:p w:rsidR="00D22F3D" w:rsidRPr="00D22F3D" w:rsidRDefault="00D22F3D" w:rsidP="00D22F3D">
      <w:pPr>
        <w:spacing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D22F3D">
        <w:rPr>
          <w:rFonts w:ascii="Times New Roman" w:hAnsi="Times New Roman" w:cs="Times New Roman"/>
          <w:b/>
          <w:sz w:val="24"/>
          <w:szCs w:val="24"/>
        </w:rPr>
        <w:t>§ 1º</w:t>
      </w:r>
      <w:r w:rsidRPr="00D22F3D">
        <w:rPr>
          <w:rFonts w:ascii="Times New Roman" w:hAnsi="Times New Roman" w:cs="Times New Roman"/>
          <w:sz w:val="24"/>
          <w:szCs w:val="24"/>
        </w:rPr>
        <w:t xml:space="preserve"> A transposição, remanejamento e transferência são instrumentos de flexibilização orçamentária, diferenciando-se dos créditos adicionais que tem a função de corrigir desvios de planejamento.</w:t>
      </w:r>
    </w:p>
    <w:p w:rsidR="00D22F3D" w:rsidRPr="00D22F3D" w:rsidRDefault="00D22F3D" w:rsidP="00D22F3D">
      <w:pPr>
        <w:spacing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D22F3D">
        <w:rPr>
          <w:rFonts w:ascii="Times New Roman" w:hAnsi="Times New Roman" w:cs="Times New Roman"/>
          <w:b/>
          <w:sz w:val="24"/>
          <w:szCs w:val="24"/>
        </w:rPr>
        <w:t xml:space="preserve">§ 2º </w:t>
      </w:r>
      <w:r w:rsidRPr="00D22F3D">
        <w:rPr>
          <w:rFonts w:ascii="Times New Roman" w:hAnsi="Times New Roman" w:cs="Times New Roman"/>
          <w:sz w:val="24"/>
          <w:szCs w:val="24"/>
        </w:rPr>
        <w:t>Para efeitos das leis orçamentárias entende-se:</w:t>
      </w:r>
    </w:p>
    <w:p w:rsidR="00D22F3D" w:rsidRPr="00D22F3D" w:rsidRDefault="00D22F3D" w:rsidP="00D22F3D">
      <w:pPr>
        <w:spacing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D22F3D">
        <w:rPr>
          <w:rFonts w:ascii="Times New Roman" w:hAnsi="Times New Roman" w:cs="Times New Roman"/>
          <w:b/>
          <w:sz w:val="24"/>
          <w:szCs w:val="24"/>
        </w:rPr>
        <w:t>I –</w:t>
      </w:r>
      <w:r w:rsidRPr="00D22F3D">
        <w:rPr>
          <w:rFonts w:ascii="Times New Roman" w:hAnsi="Times New Roman" w:cs="Times New Roman"/>
          <w:sz w:val="24"/>
          <w:szCs w:val="24"/>
        </w:rPr>
        <w:t xml:space="preserve"> Transposição – o deslocamento de excedentes de dotações orçamentárias de categorias de programação totalmente concluídas no exercício para outras incluídas como prioridade no exercício;</w:t>
      </w:r>
    </w:p>
    <w:p w:rsidR="00D22F3D" w:rsidRPr="00D22F3D" w:rsidRDefault="00D22F3D" w:rsidP="00D22F3D">
      <w:pPr>
        <w:spacing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D22F3D">
        <w:rPr>
          <w:rFonts w:ascii="Times New Roman" w:hAnsi="Times New Roman" w:cs="Times New Roman"/>
          <w:b/>
          <w:sz w:val="24"/>
          <w:szCs w:val="24"/>
        </w:rPr>
        <w:t>II –</w:t>
      </w:r>
      <w:r w:rsidRPr="00D22F3D">
        <w:rPr>
          <w:rFonts w:ascii="Times New Roman" w:hAnsi="Times New Roman" w:cs="Times New Roman"/>
          <w:sz w:val="24"/>
          <w:szCs w:val="24"/>
        </w:rPr>
        <w:t xml:space="preserve"> Remanejamento – deslocamento de créditos e dotações relativos a extinção, desdobramento ou incorporação de unidades orçamentárias à nova unidade ou, ainda, de créditos ou valores de dotações de relativas a servidores que alteram a lotação durante o exercício;</w:t>
      </w:r>
    </w:p>
    <w:p w:rsidR="00D22F3D" w:rsidRPr="00D22F3D" w:rsidRDefault="00D22F3D" w:rsidP="00D22F3D">
      <w:pPr>
        <w:spacing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D22F3D">
        <w:rPr>
          <w:rFonts w:ascii="Times New Roman" w:hAnsi="Times New Roman" w:cs="Times New Roman"/>
          <w:b/>
          <w:sz w:val="24"/>
          <w:szCs w:val="24"/>
        </w:rPr>
        <w:lastRenderedPageBreak/>
        <w:t>III –</w:t>
      </w:r>
      <w:r w:rsidRPr="00D22F3D">
        <w:rPr>
          <w:rFonts w:ascii="Times New Roman" w:hAnsi="Times New Roman" w:cs="Times New Roman"/>
          <w:sz w:val="24"/>
          <w:szCs w:val="24"/>
        </w:rPr>
        <w:t xml:space="preserve"> Transferência – deslocamento permitido de dotações de um mesmo programa de governo.</w:t>
      </w:r>
    </w:p>
    <w:p w:rsidR="00D22F3D" w:rsidRPr="00D22F3D" w:rsidRDefault="00D22F3D" w:rsidP="00D22F3D">
      <w:pPr>
        <w:spacing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D22F3D">
        <w:rPr>
          <w:rFonts w:ascii="Times New Roman" w:hAnsi="Times New Roman" w:cs="Times New Roman"/>
          <w:b/>
          <w:sz w:val="24"/>
          <w:szCs w:val="24"/>
        </w:rPr>
        <w:t>§ 3º</w:t>
      </w:r>
      <w:r w:rsidRPr="00D22F3D">
        <w:rPr>
          <w:rFonts w:ascii="Times New Roman" w:hAnsi="Times New Roman" w:cs="Times New Roman"/>
          <w:sz w:val="24"/>
          <w:szCs w:val="24"/>
        </w:rPr>
        <w:t xml:space="preserve"> A autorização conferida ao Poder Executivo no “caput” deste artigo, fica estendida ao Poder Legislativo, o qual valer-se-á de Projeto de Resolução para propor eventuais modificações em seu orçamento.</w:t>
      </w:r>
    </w:p>
    <w:p w:rsidR="00D22F3D" w:rsidRPr="00D22F3D" w:rsidRDefault="00D22F3D" w:rsidP="00D22F3D">
      <w:pPr>
        <w:pStyle w:val="Ttulo4"/>
        <w:spacing w:after="0" w:line="276" w:lineRule="auto"/>
        <w:rPr>
          <w:bCs w:val="0"/>
          <w:szCs w:val="24"/>
        </w:rPr>
      </w:pPr>
      <w:r w:rsidRPr="00D22F3D">
        <w:rPr>
          <w:bCs w:val="0"/>
          <w:szCs w:val="24"/>
        </w:rPr>
        <w:t>CAPÍTULO IV</w:t>
      </w:r>
    </w:p>
    <w:p w:rsidR="00D22F3D" w:rsidRPr="00D22F3D" w:rsidRDefault="00D22F3D" w:rsidP="00D22F3D">
      <w:pPr>
        <w:spacing w:line="276" w:lineRule="auto"/>
        <w:jc w:val="center"/>
        <w:outlineLvl w:val="5"/>
        <w:rPr>
          <w:rFonts w:ascii="Times New Roman" w:hAnsi="Times New Roman" w:cs="Times New Roman"/>
          <w:sz w:val="24"/>
          <w:szCs w:val="24"/>
        </w:rPr>
      </w:pPr>
      <w:r w:rsidRPr="00D22F3D">
        <w:rPr>
          <w:rFonts w:ascii="Times New Roman" w:hAnsi="Times New Roman" w:cs="Times New Roman"/>
          <w:sz w:val="24"/>
          <w:szCs w:val="24"/>
        </w:rPr>
        <w:t>DAS DISPOSIÇÕES RELATIVAS ÀS DESPESAS DE CARÁTER CONTINUADO</w:t>
      </w:r>
    </w:p>
    <w:p w:rsidR="00D22F3D" w:rsidRPr="00D22F3D" w:rsidRDefault="00D22F3D" w:rsidP="00D22F3D">
      <w:pPr>
        <w:spacing w:line="276" w:lineRule="auto"/>
        <w:jc w:val="center"/>
        <w:outlineLvl w:val="5"/>
        <w:rPr>
          <w:rFonts w:ascii="Times New Roman" w:hAnsi="Times New Roman" w:cs="Times New Roman"/>
          <w:sz w:val="24"/>
          <w:szCs w:val="24"/>
        </w:rPr>
      </w:pPr>
      <w:r w:rsidRPr="00D22F3D">
        <w:rPr>
          <w:rFonts w:ascii="Times New Roman" w:hAnsi="Times New Roman" w:cs="Times New Roman"/>
          <w:sz w:val="24"/>
          <w:szCs w:val="24"/>
        </w:rPr>
        <w:t>Seção I</w:t>
      </w:r>
    </w:p>
    <w:p w:rsidR="00D22F3D" w:rsidRPr="00D22F3D" w:rsidRDefault="00D22F3D" w:rsidP="00D22F3D">
      <w:pPr>
        <w:spacing w:line="276" w:lineRule="auto"/>
        <w:jc w:val="center"/>
        <w:outlineLvl w:val="5"/>
        <w:rPr>
          <w:rFonts w:ascii="Times New Roman" w:hAnsi="Times New Roman" w:cs="Times New Roman"/>
          <w:sz w:val="24"/>
          <w:szCs w:val="24"/>
        </w:rPr>
      </w:pPr>
      <w:r w:rsidRPr="00D22F3D">
        <w:rPr>
          <w:rFonts w:ascii="Times New Roman" w:hAnsi="Times New Roman" w:cs="Times New Roman"/>
          <w:sz w:val="24"/>
          <w:szCs w:val="24"/>
        </w:rPr>
        <w:t>Do Aproveitamento da Margem de Expansão das Despesas Obrigatórias de Caráter Continuado</w:t>
      </w:r>
    </w:p>
    <w:p w:rsidR="00D22F3D" w:rsidRPr="00D22F3D" w:rsidRDefault="00D22F3D" w:rsidP="00D22F3D">
      <w:pPr>
        <w:autoSpaceDE w:val="0"/>
        <w:autoSpaceDN w:val="0"/>
        <w:adjustRightInd w:val="0"/>
        <w:spacing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D22F3D">
        <w:rPr>
          <w:rFonts w:ascii="Times New Roman" w:hAnsi="Times New Roman" w:cs="Times New Roman"/>
          <w:b/>
          <w:sz w:val="24"/>
          <w:szCs w:val="24"/>
        </w:rPr>
        <w:t>Art. 21</w:t>
      </w:r>
      <w:r w:rsidR="005F7780">
        <w:rPr>
          <w:rFonts w:ascii="Times New Roman" w:hAnsi="Times New Roman" w:cs="Times New Roman"/>
          <w:b/>
          <w:sz w:val="24"/>
          <w:szCs w:val="24"/>
        </w:rPr>
        <w:t>º -</w:t>
      </w:r>
      <w:r w:rsidRPr="00D22F3D">
        <w:rPr>
          <w:rFonts w:ascii="Times New Roman" w:hAnsi="Times New Roman" w:cs="Times New Roman"/>
          <w:sz w:val="24"/>
          <w:szCs w:val="24"/>
        </w:rPr>
        <w:t xml:space="preserve"> A compensação de que trata o art. 17, § 2</w:t>
      </w:r>
      <w:r w:rsidRPr="00D22F3D">
        <w:rPr>
          <w:rFonts w:ascii="Times New Roman" w:hAnsi="Times New Roman" w:cs="Times New Roman"/>
          <w:sz w:val="24"/>
          <w:szCs w:val="24"/>
          <w:u w:val="single"/>
          <w:vertAlign w:val="superscript"/>
        </w:rPr>
        <w:t>o</w:t>
      </w:r>
      <w:r w:rsidRPr="00D22F3D">
        <w:rPr>
          <w:rFonts w:ascii="Times New Roman" w:hAnsi="Times New Roman" w:cs="Times New Roman"/>
          <w:sz w:val="24"/>
          <w:szCs w:val="24"/>
        </w:rPr>
        <w:t>, da Lei Complementar nº. 101/2000, quando da criação ou aumento de despesas obrigatórias de caráter continuado, no âmbito do Poder Executivo e do Poder Legislativo poderá ser realizada a partir do aproveitamento da respectiva margem de expansão.</w:t>
      </w:r>
    </w:p>
    <w:p w:rsidR="00D22F3D" w:rsidRPr="00D22F3D" w:rsidRDefault="00D22F3D" w:rsidP="00D22F3D">
      <w:pPr>
        <w:autoSpaceDE w:val="0"/>
        <w:autoSpaceDN w:val="0"/>
        <w:adjustRightInd w:val="0"/>
        <w:spacing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D22F3D">
        <w:rPr>
          <w:rFonts w:ascii="Times New Roman" w:hAnsi="Times New Roman" w:cs="Times New Roman"/>
          <w:b/>
          <w:sz w:val="24"/>
          <w:szCs w:val="24"/>
        </w:rPr>
        <w:t>Parágrafo único.</w:t>
      </w:r>
      <w:r w:rsidRPr="00D22F3D">
        <w:rPr>
          <w:rFonts w:ascii="Times New Roman" w:hAnsi="Times New Roman" w:cs="Times New Roman"/>
          <w:sz w:val="24"/>
          <w:szCs w:val="24"/>
        </w:rPr>
        <w:t xml:space="preserve"> O Poder Legislativo e Executivo manterão controles sobre os valores já aproveitados da margem de expansão.</w:t>
      </w:r>
    </w:p>
    <w:p w:rsidR="00D22F3D" w:rsidRPr="00D22F3D" w:rsidRDefault="00D22F3D" w:rsidP="00D22F3D">
      <w:pPr>
        <w:spacing w:line="276" w:lineRule="auto"/>
        <w:jc w:val="center"/>
        <w:outlineLvl w:val="5"/>
        <w:rPr>
          <w:rFonts w:ascii="Times New Roman" w:hAnsi="Times New Roman" w:cs="Times New Roman"/>
          <w:sz w:val="24"/>
          <w:szCs w:val="24"/>
        </w:rPr>
      </w:pPr>
      <w:r w:rsidRPr="00D22F3D">
        <w:rPr>
          <w:rFonts w:ascii="Times New Roman" w:hAnsi="Times New Roman" w:cs="Times New Roman"/>
          <w:sz w:val="24"/>
          <w:szCs w:val="24"/>
        </w:rPr>
        <w:t>Seção II</w:t>
      </w:r>
    </w:p>
    <w:p w:rsidR="00D22F3D" w:rsidRPr="00D22F3D" w:rsidRDefault="00D22F3D" w:rsidP="00D22F3D">
      <w:pPr>
        <w:spacing w:line="276" w:lineRule="auto"/>
        <w:jc w:val="center"/>
        <w:outlineLvl w:val="5"/>
        <w:rPr>
          <w:rFonts w:ascii="Times New Roman" w:hAnsi="Times New Roman" w:cs="Times New Roman"/>
          <w:color w:val="FF0000"/>
          <w:sz w:val="24"/>
          <w:szCs w:val="24"/>
        </w:rPr>
      </w:pPr>
      <w:r w:rsidRPr="00D22F3D">
        <w:rPr>
          <w:rFonts w:ascii="Times New Roman" w:hAnsi="Times New Roman" w:cs="Times New Roman"/>
          <w:sz w:val="24"/>
          <w:szCs w:val="24"/>
        </w:rPr>
        <w:t>Das Despesas com Pessoal</w:t>
      </w:r>
    </w:p>
    <w:p w:rsidR="00D22F3D" w:rsidRPr="00D22F3D" w:rsidRDefault="00D22F3D" w:rsidP="00D22F3D">
      <w:pPr>
        <w:spacing w:line="276" w:lineRule="auto"/>
        <w:ind w:firstLine="1418"/>
        <w:rPr>
          <w:rFonts w:ascii="Times New Roman" w:hAnsi="Times New Roman" w:cs="Times New Roman"/>
          <w:b/>
          <w:sz w:val="24"/>
          <w:szCs w:val="24"/>
        </w:rPr>
      </w:pPr>
      <w:r w:rsidRPr="005F7780">
        <w:rPr>
          <w:rFonts w:ascii="Times New Roman" w:hAnsi="Times New Roman" w:cs="Times New Roman"/>
          <w:b/>
          <w:sz w:val="24"/>
          <w:szCs w:val="24"/>
        </w:rPr>
        <w:t>Art. 22</w:t>
      </w:r>
      <w:r w:rsidR="005F7780">
        <w:rPr>
          <w:rFonts w:ascii="Times New Roman" w:hAnsi="Times New Roman" w:cs="Times New Roman"/>
          <w:b/>
          <w:sz w:val="24"/>
          <w:szCs w:val="24"/>
        </w:rPr>
        <w:t>º -</w:t>
      </w:r>
      <w:r w:rsidRPr="00D22F3D">
        <w:rPr>
          <w:rFonts w:ascii="Times New Roman" w:hAnsi="Times New Roman" w:cs="Times New Roman"/>
          <w:b/>
          <w:sz w:val="24"/>
          <w:szCs w:val="24"/>
        </w:rPr>
        <w:t xml:space="preserve"> O Poder Executivo e Legislativo facultativamente publicarão tabelas de cargos efetivos, empregos públicos e cargos comissionados integrantes do quadro geral de pessoal civil, demonstrando os quantitativos ocupados e vagos. </w:t>
      </w:r>
    </w:p>
    <w:p w:rsidR="00D22F3D" w:rsidRPr="00D22F3D" w:rsidRDefault="00D22F3D" w:rsidP="00D22F3D">
      <w:pPr>
        <w:spacing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D22F3D">
        <w:rPr>
          <w:rFonts w:ascii="Times New Roman" w:hAnsi="Times New Roman" w:cs="Times New Roman"/>
          <w:b/>
          <w:sz w:val="24"/>
          <w:szCs w:val="24"/>
        </w:rPr>
        <w:t>Art. 23</w:t>
      </w:r>
      <w:r w:rsidR="005F7780">
        <w:rPr>
          <w:rFonts w:ascii="Times New Roman" w:hAnsi="Times New Roman" w:cs="Times New Roman"/>
          <w:b/>
          <w:sz w:val="24"/>
          <w:szCs w:val="24"/>
        </w:rPr>
        <w:t>º -</w:t>
      </w:r>
      <w:r w:rsidRPr="00D22F3D">
        <w:rPr>
          <w:rFonts w:ascii="Times New Roman" w:hAnsi="Times New Roman" w:cs="Times New Roman"/>
          <w:sz w:val="24"/>
          <w:szCs w:val="24"/>
        </w:rPr>
        <w:t xml:space="preserve"> Os projetos de lei sobre criação ou transformação de cargos, bem como os relacionados a aumento de gastos com pessoal e encargos sociais deverão ser acompanhados:</w:t>
      </w:r>
    </w:p>
    <w:p w:rsidR="00D22F3D" w:rsidRPr="00D22F3D" w:rsidRDefault="00D22F3D" w:rsidP="00D22F3D">
      <w:pPr>
        <w:autoSpaceDE w:val="0"/>
        <w:autoSpaceDN w:val="0"/>
        <w:adjustRightInd w:val="0"/>
        <w:spacing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D22F3D">
        <w:rPr>
          <w:rFonts w:ascii="Times New Roman" w:hAnsi="Times New Roman" w:cs="Times New Roman"/>
          <w:b/>
          <w:sz w:val="24"/>
          <w:szCs w:val="24"/>
        </w:rPr>
        <w:t>I –</w:t>
      </w:r>
      <w:r w:rsidRPr="00D22F3D">
        <w:rPr>
          <w:rFonts w:ascii="Times New Roman" w:hAnsi="Times New Roman" w:cs="Times New Roman"/>
          <w:sz w:val="24"/>
          <w:szCs w:val="24"/>
        </w:rPr>
        <w:t xml:space="preserve"> de declaração do ordenador de despesas, conforme estabelecem os </w:t>
      </w:r>
      <w:proofErr w:type="spellStart"/>
      <w:r w:rsidRPr="00D22F3D">
        <w:rPr>
          <w:rFonts w:ascii="Times New Roman" w:hAnsi="Times New Roman" w:cs="Times New Roman"/>
          <w:sz w:val="24"/>
          <w:szCs w:val="24"/>
        </w:rPr>
        <w:t>arts</w:t>
      </w:r>
      <w:proofErr w:type="spellEnd"/>
      <w:r w:rsidRPr="00D22F3D">
        <w:rPr>
          <w:rFonts w:ascii="Times New Roman" w:hAnsi="Times New Roman" w:cs="Times New Roman"/>
          <w:sz w:val="24"/>
          <w:szCs w:val="24"/>
        </w:rPr>
        <w:t>. 16 e 17 da Lei Complementar nº. 101/2000;</w:t>
      </w:r>
    </w:p>
    <w:p w:rsidR="00D22F3D" w:rsidRPr="00D22F3D" w:rsidRDefault="00D22F3D" w:rsidP="00D22F3D">
      <w:pPr>
        <w:autoSpaceDE w:val="0"/>
        <w:autoSpaceDN w:val="0"/>
        <w:adjustRightInd w:val="0"/>
        <w:spacing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D22F3D">
        <w:rPr>
          <w:rFonts w:ascii="Times New Roman" w:hAnsi="Times New Roman" w:cs="Times New Roman"/>
          <w:b/>
          <w:sz w:val="24"/>
          <w:szCs w:val="24"/>
        </w:rPr>
        <w:t>II -</w:t>
      </w:r>
      <w:r w:rsidRPr="00D22F3D">
        <w:rPr>
          <w:rFonts w:ascii="Times New Roman" w:hAnsi="Times New Roman" w:cs="Times New Roman"/>
          <w:sz w:val="24"/>
          <w:szCs w:val="24"/>
        </w:rPr>
        <w:t xml:space="preserve"> simulação que demonstre o impacto orçamentário e financeiro da despesa com a medida proposta, destacando ativos e inativos.</w:t>
      </w:r>
    </w:p>
    <w:p w:rsidR="00D22F3D" w:rsidRPr="00D22F3D" w:rsidRDefault="00D22F3D" w:rsidP="00D22F3D">
      <w:pPr>
        <w:spacing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D22F3D">
        <w:rPr>
          <w:rFonts w:ascii="Times New Roman" w:hAnsi="Times New Roman" w:cs="Times New Roman"/>
          <w:b/>
          <w:sz w:val="24"/>
          <w:szCs w:val="24"/>
        </w:rPr>
        <w:t>Art. 24</w:t>
      </w:r>
      <w:r w:rsidR="005F7780">
        <w:rPr>
          <w:rFonts w:ascii="Times New Roman" w:hAnsi="Times New Roman" w:cs="Times New Roman"/>
          <w:b/>
          <w:sz w:val="24"/>
          <w:szCs w:val="24"/>
        </w:rPr>
        <w:t>º -</w:t>
      </w:r>
      <w:r w:rsidRPr="00D22F3D">
        <w:rPr>
          <w:rFonts w:ascii="Times New Roman" w:hAnsi="Times New Roman" w:cs="Times New Roman"/>
          <w:sz w:val="24"/>
          <w:szCs w:val="24"/>
        </w:rPr>
        <w:t xml:space="preserve"> Para fins de atendimento ao disposto no art. 169, § 1</w:t>
      </w:r>
      <w:r w:rsidRPr="00D22F3D">
        <w:rPr>
          <w:rFonts w:ascii="Times New Roman" w:hAnsi="Times New Roman" w:cs="Times New Roman"/>
          <w:sz w:val="24"/>
          <w:szCs w:val="24"/>
          <w:u w:val="words"/>
          <w:vertAlign w:val="superscript"/>
        </w:rPr>
        <w:t>o</w:t>
      </w:r>
      <w:r w:rsidRPr="00D22F3D">
        <w:rPr>
          <w:rFonts w:ascii="Times New Roman" w:hAnsi="Times New Roman" w:cs="Times New Roman"/>
          <w:sz w:val="24"/>
          <w:szCs w:val="24"/>
        </w:rPr>
        <w:t>, inciso II, da Constituição, ficam autorizados, além das vantagens pessoais já previstas nos planos de cargos e regime jurídico:</w:t>
      </w:r>
    </w:p>
    <w:p w:rsidR="00D22F3D" w:rsidRPr="00D22F3D" w:rsidRDefault="00D22F3D" w:rsidP="00D22F3D">
      <w:pPr>
        <w:spacing w:line="276" w:lineRule="auto"/>
        <w:ind w:firstLine="141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2F3D">
        <w:rPr>
          <w:rFonts w:ascii="Times New Roman" w:hAnsi="Times New Roman" w:cs="Times New Roman"/>
          <w:b/>
          <w:sz w:val="24"/>
          <w:szCs w:val="24"/>
        </w:rPr>
        <w:t>I – No Poder Executivo:</w:t>
      </w:r>
    </w:p>
    <w:p w:rsidR="00D22F3D" w:rsidRPr="00D22F3D" w:rsidRDefault="00D22F3D" w:rsidP="00D22F3D">
      <w:pPr>
        <w:numPr>
          <w:ilvl w:val="0"/>
          <w:numId w:val="2"/>
        </w:numPr>
        <w:tabs>
          <w:tab w:val="clear" w:pos="720"/>
        </w:tabs>
        <w:spacing w:after="0" w:line="276" w:lineRule="auto"/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D22F3D">
        <w:rPr>
          <w:rFonts w:ascii="Times New Roman" w:hAnsi="Times New Roman" w:cs="Times New Roman"/>
          <w:sz w:val="24"/>
          <w:szCs w:val="24"/>
        </w:rPr>
        <w:t>Aumento de remuneração em percentual a ser definido em lei de iniciativa do Poder Executivo;</w:t>
      </w:r>
    </w:p>
    <w:p w:rsidR="00D22F3D" w:rsidRPr="00D22F3D" w:rsidRDefault="00D22F3D" w:rsidP="00D22F3D">
      <w:pPr>
        <w:numPr>
          <w:ilvl w:val="0"/>
          <w:numId w:val="2"/>
        </w:numPr>
        <w:tabs>
          <w:tab w:val="clear" w:pos="720"/>
        </w:tabs>
        <w:spacing w:after="0" w:line="276" w:lineRule="auto"/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D22F3D">
        <w:rPr>
          <w:rFonts w:ascii="Times New Roman" w:hAnsi="Times New Roman" w:cs="Times New Roman"/>
          <w:sz w:val="24"/>
          <w:szCs w:val="24"/>
        </w:rPr>
        <w:lastRenderedPageBreak/>
        <w:t>Investiduras por nomeação/admissão para cargo ou emprego público, designação de função de confiança ou nomeação para cargo em comissão com disponibilidade de vagas;</w:t>
      </w:r>
    </w:p>
    <w:p w:rsidR="00D22F3D" w:rsidRPr="00D22F3D" w:rsidRDefault="00D22F3D" w:rsidP="00D22F3D">
      <w:pPr>
        <w:numPr>
          <w:ilvl w:val="0"/>
          <w:numId w:val="2"/>
        </w:numPr>
        <w:tabs>
          <w:tab w:val="clear" w:pos="720"/>
        </w:tabs>
        <w:spacing w:after="0" w:line="276" w:lineRule="auto"/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D22F3D">
        <w:rPr>
          <w:rFonts w:ascii="Times New Roman" w:hAnsi="Times New Roman" w:cs="Times New Roman"/>
          <w:sz w:val="24"/>
          <w:szCs w:val="24"/>
        </w:rPr>
        <w:t>Contratações de pessoal por excepcional interesse público, desde que atendidos os pressupostos que caracterizem como tal, nos termos da Lei Municipal nº. 1675/2013 e que venham atender a situações cuja investidura por concurso não se revele a mais adequada face às características da necessidade da contratação.</w:t>
      </w:r>
    </w:p>
    <w:p w:rsidR="00D22F3D" w:rsidRPr="00D22F3D" w:rsidRDefault="00D22F3D" w:rsidP="00D22F3D">
      <w:pPr>
        <w:spacing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D22F3D">
        <w:rPr>
          <w:rFonts w:ascii="Times New Roman" w:hAnsi="Times New Roman" w:cs="Times New Roman"/>
          <w:b/>
          <w:sz w:val="24"/>
          <w:szCs w:val="24"/>
        </w:rPr>
        <w:t>II – No Poder Legislativo</w:t>
      </w:r>
      <w:r w:rsidRPr="00D22F3D">
        <w:rPr>
          <w:rFonts w:ascii="Times New Roman" w:hAnsi="Times New Roman" w:cs="Times New Roman"/>
          <w:sz w:val="24"/>
          <w:szCs w:val="24"/>
        </w:rPr>
        <w:t>:</w:t>
      </w:r>
    </w:p>
    <w:p w:rsidR="00D22F3D" w:rsidRPr="00D22F3D" w:rsidRDefault="00D22F3D" w:rsidP="00D22F3D">
      <w:pPr>
        <w:numPr>
          <w:ilvl w:val="0"/>
          <w:numId w:val="3"/>
        </w:numPr>
        <w:tabs>
          <w:tab w:val="clear" w:pos="1776"/>
        </w:tabs>
        <w:spacing w:after="0" w:line="276" w:lineRule="auto"/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D22F3D">
        <w:rPr>
          <w:rFonts w:ascii="Times New Roman" w:hAnsi="Times New Roman" w:cs="Times New Roman"/>
          <w:sz w:val="24"/>
          <w:szCs w:val="24"/>
        </w:rPr>
        <w:t>Aumento de remuneração em percentual a ser definido em lei própria;</w:t>
      </w:r>
    </w:p>
    <w:p w:rsidR="00D22F3D" w:rsidRPr="00D22F3D" w:rsidRDefault="00D22F3D" w:rsidP="005F7780">
      <w:pPr>
        <w:numPr>
          <w:ilvl w:val="0"/>
          <w:numId w:val="3"/>
        </w:numPr>
        <w:tabs>
          <w:tab w:val="clear" w:pos="1776"/>
          <w:tab w:val="num" w:pos="900"/>
        </w:tabs>
        <w:spacing w:after="0" w:line="276" w:lineRule="auto"/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D22F3D">
        <w:rPr>
          <w:rFonts w:ascii="Times New Roman" w:hAnsi="Times New Roman" w:cs="Times New Roman"/>
          <w:sz w:val="24"/>
          <w:szCs w:val="24"/>
        </w:rPr>
        <w:t>Contratações de pessoal por excepcional interesse público, desde que atendidos os pressupostos que caracterizem como tal, nos termos da Lei Municipal nº. 1646/2013 e que venham atender a situações cuja investidura por concurso não se revelem a mais adequada face às características da necessidade da contratação.</w:t>
      </w:r>
    </w:p>
    <w:p w:rsidR="005F7780" w:rsidRDefault="005F7780" w:rsidP="005F7780">
      <w:pPr>
        <w:spacing w:after="0" w:line="276" w:lineRule="auto"/>
        <w:ind w:firstLine="141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22F3D" w:rsidRPr="00D22F3D" w:rsidRDefault="00D22F3D" w:rsidP="00D22F3D">
      <w:pPr>
        <w:spacing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D22F3D">
        <w:rPr>
          <w:rFonts w:ascii="Times New Roman" w:hAnsi="Times New Roman" w:cs="Times New Roman"/>
          <w:b/>
          <w:sz w:val="24"/>
          <w:szCs w:val="24"/>
        </w:rPr>
        <w:t>Art. 25</w:t>
      </w:r>
      <w:r w:rsidR="005F7780">
        <w:rPr>
          <w:rFonts w:ascii="Times New Roman" w:hAnsi="Times New Roman" w:cs="Times New Roman"/>
          <w:b/>
          <w:sz w:val="24"/>
          <w:szCs w:val="24"/>
        </w:rPr>
        <w:t xml:space="preserve">º - </w:t>
      </w:r>
      <w:r w:rsidRPr="00D22F3D">
        <w:rPr>
          <w:rFonts w:ascii="Times New Roman" w:hAnsi="Times New Roman" w:cs="Times New Roman"/>
          <w:sz w:val="24"/>
          <w:szCs w:val="24"/>
        </w:rPr>
        <w:t>No exercício de 2027 a realização de serviço extraordinário, quando a despesa houver ultrapassado os 51,3% (cinquenta e um inteiros e três décimos por cento) e 5,7% (cinco inteiros e sete décimos por cento), respectivamente, no Poder Executivo e Legislativo, exceto no caso previsto no art. 57, § 6</w:t>
      </w:r>
      <w:r w:rsidRPr="00D22F3D">
        <w:rPr>
          <w:rFonts w:ascii="Times New Roman" w:hAnsi="Times New Roman" w:cs="Times New Roman"/>
          <w:sz w:val="24"/>
          <w:szCs w:val="24"/>
          <w:u w:val="words"/>
          <w:vertAlign w:val="superscript"/>
        </w:rPr>
        <w:t>o</w:t>
      </w:r>
      <w:r w:rsidRPr="00D22F3D">
        <w:rPr>
          <w:rFonts w:ascii="Times New Roman" w:hAnsi="Times New Roman" w:cs="Times New Roman"/>
          <w:sz w:val="24"/>
          <w:szCs w:val="24"/>
        </w:rPr>
        <w:t>, inciso II, da Constituição, somente poderá ocorrer quando destinada ao atendimento de relevante interesse público que enseja situação emergencial, de risco ou de prejuízo para a sociedade, dentre estes:</w:t>
      </w:r>
    </w:p>
    <w:p w:rsidR="00D22F3D" w:rsidRPr="00D22F3D" w:rsidRDefault="00D22F3D" w:rsidP="00D22F3D">
      <w:pPr>
        <w:spacing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D22F3D">
        <w:rPr>
          <w:rFonts w:ascii="Times New Roman" w:hAnsi="Times New Roman" w:cs="Times New Roman"/>
          <w:b/>
          <w:sz w:val="24"/>
          <w:szCs w:val="24"/>
        </w:rPr>
        <w:t>I –</w:t>
      </w:r>
      <w:r w:rsidRPr="00D22F3D">
        <w:rPr>
          <w:rFonts w:ascii="Times New Roman" w:hAnsi="Times New Roman" w:cs="Times New Roman"/>
          <w:sz w:val="24"/>
          <w:szCs w:val="24"/>
        </w:rPr>
        <w:t xml:space="preserve"> situações de emergência ou calamidade pública;</w:t>
      </w:r>
    </w:p>
    <w:p w:rsidR="00D22F3D" w:rsidRPr="00D22F3D" w:rsidRDefault="00D22F3D" w:rsidP="00D22F3D">
      <w:pPr>
        <w:spacing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D22F3D">
        <w:rPr>
          <w:rFonts w:ascii="Times New Roman" w:hAnsi="Times New Roman" w:cs="Times New Roman"/>
          <w:b/>
          <w:sz w:val="24"/>
          <w:szCs w:val="24"/>
        </w:rPr>
        <w:t>II –</w:t>
      </w:r>
      <w:r w:rsidRPr="00D22F3D">
        <w:rPr>
          <w:rFonts w:ascii="Times New Roman" w:hAnsi="Times New Roman" w:cs="Times New Roman"/>
          <w:sz w:val="24"/>
          <w:szCs w:val="24"/>
        </w:rPr>
        <w:t xml:space="preserve"> situações em que possam estar em risco </w:t>
      </w:r>
      <w:proofErr w:type="gramStart"/>
      <w:r w:rsidRPr="00D22F3D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D22F3D">
        <w:rPr>
          <w:rFonts w:ascii="Times New Roman" w:hAnsi="Times New Roman" w:cs="Times New Roman"/>
          <w:sz w:val="24"/>
          <w:szCs w:val="24"/>
        </w:rPr>
        <w:t xml:space="preserve"> segurança de pessoas ou bens;</w:t>
      </w:r>
    </w:p>
    <w:p w:rsidR="00D22F3D" w:rsidRPr="00D22F3D" w:rsidRDefault="00D22F3D" w:rsidP="00D22F3D">
      <w:pPr>
        <w:spacing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D22F3D">
        <w:rPr>
          <w:rFonts w:ascii="Times New Roman" w:hAnsi="Times New Roman" w:cs="Times New Roman"/>
          <w:b/>
          <w:sz w:val="24"/>
          <w:szCs w:val="24"/>
        </w:rPr>
        <w:t>III –</w:t>
      </w:r>
      <w:r w:rsidRPr="00D22F3D">
        <w:rPr>
          <w:rFonts w:ascii="Times New Roman" w:hAnsi="Times New Roman" w:cs="Times New Roman"/>
          <w:sz w:val="24"/>
          <w:szCs w:val="24"/>
        </w:rPr>
        <w:t xml:space="preserve"> a relação custo-benefício se revelar favorável em relação a outra alternativa possível em situações momentâneas. </w:t>
      </w:r>
    </w:p>
    <w:p w:rsidR="00D22F3D" w:rsidRPr="00D22F3D" w:rsidRDefault="00D22F3D" w:rsidP="00D22F3D">
      <w:pPr>
        <w:pStyle w:val="Ttulo4"/>
        <w:spacing w:after="0" w:line="276" w:lineRule="auto"/>
        <w:rPr>
          <w:bCs w:val="0"/>
          <w:szCs w:val="24"/>
        </w:rPr>
      </w:pPr>
    </w:p>
    <w:p w:rsidR="00D22F3D" w:rsidRPr="00D22F3D" w:rsidRDefault="00D22F3D" w:rsidP="00D22F3D">
      <w:pPr>
        <w:pStyle w:val="Ttulo4"/>
        <w:spacing w:after="0" w:line="276" w:lineRule="auto"/>
        <w:rPr>
          <w:bCs w:val="0"/>
          <w:szCs w:val="24"/>
        </w:rPr>
      </w:pPr>
      <w:r w:rsidRPr="00D22F3D">
        <w:rPr>
          <w:bCs w:val="0"/>
          <w:szCs w:val="24"/>
        </w:rPr>
        <w:t>CAPÍTULO V</w:t>
      </w:r>
    </w:p>
    <w:p w:rsidR="00D22F3D" w:rsidRPr="00D22F3D" w:rsidRDefault="00D22F3D" w:rsidP="00D22F3D">
      <w:pPr>
        <w:pStyle w:val="Ttulo6"/>
        <w:spacing w:before="0" w:beforeAutospacing="0" w:after="0" w:afterAutospacing="0" w:line="276" w:lineRule="auto"/>
        <w:jc w:val="center"/>
        <w:rPr>
          <w:rFonts w:ascii="Times New Roman" w:hAnsi="Times New Roman"/>
          <w:bCs w:val="0"/>
          <w:sz w:val="24"/>
          <w:szCs w:val="24"/>
        </w:rPr>
      </w:pPr>
      <w:r w:rsidRPr="00D22F3D">
        <w:rPr>
          <w:rFonts w:ascii="Times New Roman" w:hAnsi="Times New Roman"/>
          <w:bCs w:val="0"/>
          <w:sz w:val="24"/>
          <w:szCs w:val="24"/>
        </w:rPr>
        <w:t>DO NÃO</w:t>
      </w:r>
      <w:r w:rsidRPr="00D22F3D">
        <w:rPr>
          <w:rFonts w:ascii="Times New Roman" w:hAnsi="Times New Roman"/>
          <w:bCs w:val="0"/>
          <w:sz w:val="24"/>
          <w:szCs w:val="24"/>
          <w:lang w:val="pt-BR"/>
        </w:rPr>
        <w:t xml:space="preserve"> </w:t>
      </w:r>
      <w:r w:rsidRPr="00D22F3D">
        <w:rPr>
          <w:rFonts w:ascii="Times New Roman" w:hAnsi="Times New Roman"/>
          <w:bCs w:val="0"/>
          <w:sz w:val="24"/>
          <w:szCs w:val="24"/>
        </w:rPr>
        <w:t>ATINGIMENTO DAS METAS FISCAIS</w:t>
      </w:r>
    </w:p>
    <w:p w:rsidR="00D22F3D" w:rsidRPr="00D22F3D" w:rsidRDefault="00D22F3D" w:rsidP="00D22F3D">
      <w:pPr>
        <w:pStyle w:val="Rodap"/>
        <w:spacing w:line="276" w:lineRule="auto"/>
        <w:ind w:firstLine="1418"/>
        <w:jc w:val="both"/>
      </w:pPr>
      <w:r w:rsidRPr="00D22F3D">
        <w:rPr>
          <w:b/>
        </w:rPr>
        <w:t>Art. 26</w:t>
      </w:r>
      <w:r w:rsidR="005F7780">
        <w:rPr>
          <w:b/>
          <w:lang w:val="pt-BR"/>
        </w:rPr>
        <w:t>º -</w:t>
      </w:r>
      <w:r w:rsidRPr="00D22F3D">
        <w:rPr>
          <w:b/>
        </w:rPr>
        <w:t xml:space="preserve"> </w:t>
      </w:r>
      <w:r w:rsidRPr="00D22F3D">
        <w:t>Caso seja necessária a limitação do empenho das dotações orçamentárias e da movimentação financeira para atingir meta de resultado fiscal conforme determinado pelo art. 9</w:t>
      </w:r>
      <w:r w:rsidRPr="00D22F3D">
        <w:rPr>
          <w:u w:val="single"/>
          <w:vertAlign w:val="superscript"/>
        </w:rPr>
        <w:t>o</w:t>
      </w:r>
      <w:r w:rsidRPr="00D22F3D">
        <w:t xml:space="preserve"> da Lei Complementar n</w:t>
      </w:r>
      <w:r w:rsidRPr="00D22F3D">
        <w:rPr>
          <w:u w:val="single"/>
          <w:vertAlign w:val="superscript"/>
        </w:rPr>
        <w:t>o</w:t>
      </w:r>
      <w:r w:rsidRPr="00D22F3D">
        <w:t xml:space="preserve"> 101/2000, será fixado, separadamente, percentual de limitação para o conjunto de ações orçamentárias, calculado de forma proporcional à participação dos Poderes do Município, excluídas as despesas que constituem obrigação constitucional ou legal de execução.</w:t>
      </w:r>
    </w:p>
    <w:p w:rsidR="00D22F3D" w:rsidRPr="00D22F3D" w:rsidRDefault="00D22F3D" w:rsidP="00D22F3D">
      <w:pPr>
        <w:pStyle w:val="Rodap"/>
        <w:spacing w:line="276" w:lineRule="auto"/>
        <w:ind w:firstLine="1418"/>
        <w:jc w:val="both"/>
      </w:pPr>
      <w:r w:rsidRPr="00D22F3D">
        <w:rPr>
          <w:b/>
        </w:rPr>
        <w:t xml:space="preserve">§ 1º </w:t>
      </w:r>
      <w:r w:rsidRPr="00D22F3D">
        <w:t>Constituem critérios para a limitação de empenho e movimentação financeira, a seguinte ordem de prioridade:</w:t>
      </w:r>
    </w:p>
    <w:p w:rsidR="00D22F3D" w:rsidRPr="00D22F3D" w:rsidRDefault="00D22F3D" w:rsidP="00D22F3D">
      <w:pPr>
        <w:pStyle w:val="Rodap"/>
        <w:spacing w:line="276" w:lineRule="auto"/>
        <w:ind w:firstLine="1418"/>
        <w:jc w:val="both"/>
      </w:pPr>
      <w:r w:rsidRPr="00D22F3D">
        <w:rPr>
          <w:b/>
        </w:rPr>
        <w:t>I –</w:t>
      </w:r>
      <w:r w:rsidRPr="00D22F3D">
        <w:t xml:space="preserve"> No Poder Executivo:</w:t>
      </w:r>
    </w:p>
    <w:p w:rsidR="00D22F3D" w:rsidRPr="00D22F3D" w:rsidRDefault="00D22F3D" w:rsidP="00D22F3D">
      <w:pPr>
        <w:pStyle w:val="Rodap"/>
        <w:numPr>
          <w:ilvl w:val="0"/>
          <w:numId w:val="4"/>
        </w:numPr>
        <w:tabs>
          <w:tab w:val="clear" w:pos="720"/>
          <w:tab w:val="clear" w:pos="4419"/>
          <w:tab w:val="clear" w:pos="8838"/>
        </w:tabs>
        <w:spacing w:line="276" w:lineRule="auto"/>
        <w:ind w:left="0" w:firstLine="1418"/>
        <w:jc w:val="both"/>
      </w:pPr>
      <w:r w:rsidRPr="00D22F3D">
        <w:t>Corte de diárias;</w:t>
      </w:r>
    </w:p>
    <w:p w:rsidR="00D22F3D" w:rsidRPr="00D22F3D" w:rsidRDefault="00D22F3D" w:rsidP="00D22F3D">
      <w:pPr>
        <w:pStyle w:val="Rodap"/>
        <w:numPr>
          <w:ilvl w:val="0"/>
          <w:numId w:val="4"/>
        </w:numPr>
        <w:tabs>
          <w:tab w:val="clear" w:pos="720"/>
          <w:tab w:val="clear" w:pos="4419"/>
          <w:tab w:val="clear" w:pos="8838"/>
        </w:tabs>
        <w:spacing w:line="276" w:lineRule="auto"/>
        <w:ind w:left="0" w:firstLine="1418"/>
        <w:jc w:val="both"/>
      </w:pPr>
      <w:r w:rsidRPr="00D22F3D">
        <w:t>Corte de horas extras;</w:t>
      </w:r>
    </w:p>
    <w:p w:rsidR="00D22F3D" w:rsidRPr="00D22F3D" w:rsidRDefault="00D22F3D" w:rsidP="00D22F3D">
      <w:pPr>
        <w:pStyle w:val="Rodap"/>
        <w:numPr>
          <w:ilvl w:val="0"/>
          <w:numId w:val="4"/>
        </w:numPr>
        <w:tabs>
          <w:tab w:val="clear" w:pos="720"/>
          <w:tab w:val="clear" w:pos="4419"/>
          <w:tab w:val="clear" w:pos="8838"/>
        </w:tabs>
        <w:spacing w:line="276" w:lineRule="auto"/>
        <w:ind w:left="0" w:firstLine="1418"/>
        <w:jc w:val="both"/>
      </w:pPr>
      <w:r w:rsidRPr="00D22F3D">
        <w:t>Corte das despesas de manutenção dos órgãos;</w:t>
      </w:r>
    </w:p>
    <w:p w:rsidR="00D22F3D" w:rsidRPr="00D22F3D" w:rsidRDefault="00D22F3D" w:rsidP="00D22F3D">
      <w:pPr>
        <w:pStyle w:val="Rodap"/>
        <w:numPr>
          <w:ilvl w:val="0"/>
          <w:numId w:val="4"/>
        </w:numPr>
        <w:tabs>
          <w:tab w:val="clear" w:pos="720"/>
          <w:tab w:val="clear" w:pos="4419"/>
          <w:tab w:val="clear" w:pos="8838"/>
        </w:tabs>
        <w:spacing w:line="276" w:lineRule="auto"/>
        <w:ind w:left="0" w:firstLine="1418"/>
        <w:jc w:val="both"/>
      </w:pPr>
      <w:r w:rsidRPr="00D22F3D">
        <w:lastRenderedPageBreak/>
        <w:t>Suspensão de programas de investimentos ainda não iniciados;</w:t>
      </w:r>
    </w:p>
    <w:p w:rsidR="00D22F3D" w:rsidRPr="00D22F3D" w:rsidRDefault="00D22F3D" w:rsidP="00D22F3D">
      <w:pPr>
        <w:pStyle w:val="Rodap"/>
        <w:numPr>
          <w:ilvl w:val="0"/>
          <w:numId w:val="4"/>
        </w:numPr>
        <w:tabs>
          <w:tab w:val="clear" w:pos="720"/>
          <w:tab w:val="clear" w:pos="4419"/>
          <w:tab w:val="clear" w:pos="8838"/>
        </w:tabs>
        <w:spacing w:line="276" w:lineRule="auto"/>
        <w:ind w:left="0" w:firstLine="1418"/>
        <w:jc w:val="both"/>
      </w:pPr>
      <w:r w:rsidRPr="00D22F3D">
        <w:t>Exoneração de ocupantes de cargos em comissão.</w:t>
      </w:r>
    </w:p>
    <w:p w:rsidR="00D22F3D" w:rsidRPr="00D22F3D" w:rsidRDefault="00D22F3D" w:rsidP="00D22F3D">
      <w:pPr>
        <w:pStyle w:val="Rodap"/>
        <w:spacing w:line="276" w:lineRule="auto"/>
        <w:ind w:firstLine="1418"/>
        <w:jc w:val="both"/>
      </w:pPr>
      <w:r w:rsidRPr="00D22F3D">
        <w:rPr>
          <w:b/>
        </w:rPr>
        <w:t>II –</w:t>
      </w:r>
      <w:r w:rsidRPr="00D22F3D">
        <w:t xml:space="preserve"> No Poder Legislativo</w:t>
      </w:r>
    </w:p>
    <w:p w:rsidR="00D22F3D" w:rsidRPr="00D22F3D" w:rsidRDefault="00D22F3D" w:rsidP="00D22F3D">
      <w:pPr>
        <w:pStyle w:val="Rodap"/>
        <w:numPr>
          <w:ilvl w:val="0"/>
          <w:numId w:val="5"/>
        </w:numPr>
        <w:tabs>
          <w:tab w:val="clear" w:pos="720"/>
          <w:tab w:val="clear" w:pos="4419"/>
          <w:tab w:val="clear" w:pos="8838"/>
        </w:tabs>
        <w:spacing w:line="276" w:lineRule="auto"/>
        <w:ind w:left="0" w:firstLine="1418"/>
        <w:jc w:val="both"/>
      </w:pPr>
      <w:r w:rsidRPr="00D22F3D">
        <w:t>Corte das despesas de manutenção do Poder.</w:t>
      </w:r>
    </w:p>
    <w:p w:rsidR="00D22F3D" w:rsidRPr="00D22F3D" w:rsidRDefault="00D22F3D" w:rsidP="00D22F3D">
      <w:pPr>
        <w:pStyle w:val="Rodap"/>
        <w:spacing w:line="276" w:lineRule="auto"/>
        <w:ind w:firstLine="1418"/>
        <w:jc w:val="both"/>
      </w:pPr>
      <w:r w:rsidRPr="00D22F3D">
        <w:rPr>
          <w:b/>
        </w:rPr>
        <w:t>§ 2º</w:t>
      </w:r>
      <w:r w:rsidRPr="00D22F3D">
        <w:t xml:space="preserve"> Na hipótese da ocorrência do disposto no </w:t>
      </w:r>
      <w:r w:rsidRPr="00D22F3D">
        <w:rPr>
          <w:i/>
          <w:iCs/>
        </w:rPr>
        <w:t>caput</w:t>
      </w:r>
      <w:r w:rsidRPr="00D22F3D">
        <w:t xml:space="preserve"> deste artigo, o Poder Executivo comunicará ao Legislativo, até o 20° (vigésimo) dia do mês subsequente ao final do bimestre, acompanhado dos parâmetros adotados e das estimativas de receitas e despesas, o montante que caberá a cada um na limitação do empenho e da movimentação financeira.</w:t>
      </w:r>
    </w:p>
    <w:p w:rsidR="00D22F3D" w:rsidRPr="00D22F3D" w:rsidRDefault="00D22F3D" w:rsidP="00D22F3D">
      <w:pPr>
        <w:pStyle w:val="Rodap"/>
        <w:spacing w:line="276" w:lineRule="auto"/>
        <w:ind w:firstLine="1418"/>
        <w:jc w:val="both"/>
      </w:pPr>
      <w:r w:rsidRPr="00D22F3D">
        <w:rPr>
          <w:b/>
        </w:rPr>
        <w:t>§ 3º</w:t>
      </w:r>
      <w:r w:rsidRPr="00D22F3D">
        <w:t xml:space="preserve"> O Legislativo, com base na comunicação de que trata o parágrafo anterior publicará ato, até o final do mês em que ocorreu a comunicação, estabelecendo os montantes limitados de empenho e movimentação financeira.</w:t>
      </w:r>
    </w:p>
    <w:p w:rsidR="00D22F3D" w:rsidRPr="00D22F3D" w:rsidRDefault="00D22F3D" w:rsidP="00D22F3D">
      <w:pPr>
        <w:pStyle w:val="Rodap"/>
        <w:spacing w:line="276" w:lineRule="auto"/>
        <w:ind w:firstLine="1418"/>
        <w:jc w:val="both"/>
      </w:pPr>
      <w:r w:rsidRPr="00D22F3D">
        <w:rPr>
          <w:b/>
        </w:rPr>
        <w:t xml:space="preserve">§ 4º </w:t>
      </w:r>
      <w:r w:rsidRPr="00D22F3D">
        <w:t xml:space="preserve">Não ocorrendo à limitação de empenho e movimentação financeira de que trata este artigo, fica a cargo do Sistema de Controle Interno a comunicação ao Tribunal de Contas do Estado, conforme atribuição prevista no art. 59, caput e inciso I da Lei Complementar nº. 101/2000 e art. 74, §1º da Constituição Federal. </w:t>
      </w:r>
    </w:p>
    <w:p w:rsidR="00D22F3D" w:rsidRPr="00D22F3D" w:rsidRDefault="00D22F3D" w:rsidP="00D22F3D">
      <w:pPr>
        <w:pStyle w:val="Ttulo4"/>
        <w:spacing w:after="0" w:line="276" w:lineRule="auto"/>
        <w:rPr>
          <w:bCs w:val="0"/>
          <w:szCs w:val="24"/>
        </w:rPr>
      </w:pPr>
    </w:p>
    <w:p w:rsidR="00D22F3D" w:rsidRPr="00D22F3D" w:rsidRDefault="00D22F3D" w:rsidP="00D22F3D">
      <w:pPr>
        <w:pStyle w:val="Ttulo4"/>
        <w:spacing w:after="0" w:line="276" w:lineRule="auto"/>
        <w:rPr>
          <w:bCs w:val="0"/>
          <w:szCs w:val="24"/>
        </w:rPr>
      </w:pPr>
      <w:r w:rsidRPr="00D22F3D">
        <w:rPr>
          <w:bCs w:val="0"/>
          <w:szCs w:val="24"/>
        </w:rPr>
        <w:t>CAPÍTULO VI</w:t>
      </w:r>
    </w:p>
    <w:p w:rsidR="00D22F3D" w:rsidRPr="00D22F3D" w:rsidRDefault="00D22F3D" w:rsidP="00D22F3D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2F3D">
        <w:rPr>
          <w:rFonts w:ascii="Times New Roman" w:hAnsi="Times New Roman" w:cs="Times New Roman"/>
          <w:b/>
          <w:sz w:val="24"/>
          <w:szCs w:val="24"/>
        </w:rPr>
        <w:t>DAS DISPOSIÇÕES FINAIS</w:t>
      </w:r>
    </w:p>
    <w:p w:rsidR="00D22F3D" w:rsidRPr="00D22F3D" w:rsidRDefault="00D22F3D" w:rsidP="00D22F3D">
      <w:pPr>
        <w:spacing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D22F3D">
        <w:rPr>
          <w:rFonts w:ascii="Times New Roman" w:hAnsi="Times New Roman" w:cs="Times New Roman"/>
          <w:b/>
          <w:sz w:val="24"/>
          <w:szCs w:val="24"/>
        </w:rPr>
        <w:t>Art. 27</w:t>
      </w:r>
      <w:r w:rsidR="005F7780">
        <w:rPr>
          <w:rFonts w:ascii="Times New Roman" w:hAnsi="Times New Roman" w:cs="Times New Roman"/>
          <w:b/>
          <w:sz w:val="24"/>
          <w:szCs w:val="24"/>
        </w:rPr>
        <w:t>º -</w:t>
      </w:r>
      <w:r w:rsidRPr="00D22F3D">
        <w:rPr>
          <w:rFonts w:ascii="Times New Roman" w:hAnsi="Times New Roman" w:cs="Times New Roman"/>
          <w:sz w:val="24"/>
          <w:szCs w:val="24"/>
        </w:rPr>
        <w:t xml:space="preserve"> O Poder Executivo e Legislativo manterão sistema integrado de execução orçamentária que permita o cumprimento do art. 166, §1º, II da Constituição Federal.</w:t>
      </w:r>
    </w:p>
    <w:p w:rsidR="00D22F3D" w:rsidRPr="00D22F3D" w:rsidRDefault="00D22F3D" w:rsidP="00D22F3D">
      <w:pPr>
        <w:spacing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D22F3D">
        <w:rPr>
          <w:rFonts w:ascii="Times New Roman" w:hAnsi="Times New Roman" w:cs="Times New Roman"/>
          <w:b/>
          <w:sz w:val="24"/>
          <w:szCs w:val="24"/>
        </w:rPr>
        <w:t>Art. 28</w:t>
      </w:r>
      <w:r w:rsidR="005F7780">
        <w:rPr>
          <w:rFonts w:ascii="Times New Roman" w:hAnsi="Times New Roman" w:cs="Times New Roman"/>
          <w:b/>
          <w:sz w:val="24"/>
          <w:szCs w:val="24"/>
        </w:rPr>
        <w:t>º -</w:t>
      </w:r>
      <w:r w:rsidRPr="00D22F3D">
        <w:rPr>
          <w:rFonts w:ascii="Times New Roman" w:hAnsi="Times New Roman" w:cs="Times New Roman"/>
          <w:sz w:val="24"/>
          <w:szCs w:val="24"/>
        </w:rPr>
        <w:t xml:space="preserve"> Para fins de cumprimento do art. 62 da Lei Complementar nº. 101/2000, fica o Município autorizado a firmar convênio ou congênere, com a União ou o Estado, com vistas:</w:t>
      </w:r>
    </w:p>
    <w:p w:rsidR="00D22F3D" w:rsidRPr="00D22F3D" w:rsidRDefault="00D22F3D" w:rsidP="00D22F3D">
      <w:pPr>
        <w:spacing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D22F3D">
        <w:rPr>
          <w:rFonts w:ascii="Times New Roman" w:hAnsi="Times New Roman" w:cs="Times New Roman"/>
          <w:b/>
          <w:sz w:val="24"/>
          <w:szCs w:val="24"/>
        </w:rPr>
        <w:t>I –</w:t>
      </w:r>
      <w:r w:rsidRPr="00D22F3D">
        <w:rPr>
          <w:rFonts w:ascii="Times New Roman" w:hAnsi="Times New Roman" w:cs="Times New Roman"/>
          <w:sz w:val="24"/>
          <w:szCs w:val="24"/>
        </w:rPr>
        <w:t xml:space="preserve"> ao funcionamento de serviços bancários, de segurança pública e Agência Comunitária dos Correios;</w:t>
      </w:r>
    </w:p>
    <w:p w:rsidR="00D22F3D" w:rsidRPr="00D22F3D" w:rsidRDefault="00D22F3D" w:rsidP="00D22F3D">
      <w:pPr>
        <w:spacing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D22F3D">
        <w:rPr>
          <w:rFonts w:ascii="Times New Roman" w:hAnsi="Times New Roman" w:cs="Times New Roman"/>
          <w:b/>
          <w:sz w:val="24"/>
          <w:szCs w:val="24"/>
        </w:rPr>
        <w:t xml:space="preserve">II – </w:t>
      </w:r>
      <w:r w:rsidRPr="00D22F3D">
        <w:rPr>
          <w:rFonts w:ascii="Times New Roman" w:hAnsi="Times New Roman" w:cs="Times New Roman"/>
          <w:sz w:val="24"/>
          <w:szCs w:val="24"/>
        </w:rPr>
        <w:t>a possibilitar o assessoramento técnico aos produtores rurais do Município;</w:t>
      </w:r>
    </w:p>
    <w:p w:rsidR="00D22F3D" w:rsidRPr="00D22F3D" w:rsidRDefault="00D22F3D" w:rsidP="00D22F3D">
      <w:pPr>
        <w:spacing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D22F3D">
        <w:rPr>
          <w:rFonts w:ascii="Times New Roman" w:hAnsi="Times New Roman" w:cs="Times New Roman"/>
          <w:b/>
          <w:sz w:val="24"/>
          <w:szCs w:val="24"/>
        </w:rPr>
        <w:t>III –</w:t>
      </w:r>
      <w:r w:rsidRPr="00D22F3D">
        <w:rPr>
          <w:rFonts w:ascii="Times New Roman" w:hAnsi="Times New Roman" w:cs="Times New Roman"/>
          <w:sz w:val="24"/>
          <w:szCs w:val="24"/>
        </w:rPr>
        <w:t xml:space="preserve"> a consórcios públicos em que o Município fizer parte;</w:t>
      </w:r>
    </w:p>
    <w:p w:rsidR="00D22F3D" w:rsidRPr="00D22F3D" w:rsidRDefault="00D22F3D" w:rsidP="00D22F3D">
      <w:pPr>
        <w:spacing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D22F3D">
        <w:rPr>
          <w:rFonts w:ascii="Times New Roman" w:hAnsi="Times New Roman" w:cs="Times New Roman"/>
          <w:b/>
          <w:sz w:val="24"/>
          <w:szCs w:val="24"/>
        </w:rPr>
        <w:t>IV –</w:t>
      </w:r>
      <w:r w:rsidRPr="00D22F3D">
        <w:rPr>
          <w:rFonts w:ascii="Times New Roman" w:hAnsi="Times New Roman" w:cs="Times New Roman"/>
          <w:sz w:val="24"/>
          <w:szCs w:val="24"/>
        </w:rPr>
        <w:t xml:space="preserve"> a cedência de servidores para o funcionamento de órgãos ou entidades no Município.</w:t>
      </w:r>
    </w:p>
    <w:p w:rsidR="00D22F3D" w:rsidRPr="00D22F3D" w:rsidRDefault="00D22F3D" w:rsidP="00D22F3D">
      <w:pPr>
        <w:autoSpaceDE w:val="0"/>
        <w:autoSpaceDN w:val="0"/>
        <w:adjustRightInd w:val="0"/>
        <w:spacing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D22F3D">
        <w:rPr>
          <w:rFonts w:ascii="Times New Roman" w:hAnsi="Times New Roman" w:cs="Times New Roman"/>
          <w:b/>
          <w:sz w:val="24"/>
          <w:szCs w:val="24"/>
        </w:rPr>
        <w:t>Art. 29</w:t>
      </w:r>
      <w:r w:rsidR="005F7780">
        <w:rPr>
          <w:rFonts w:ascii="Times New Roman" w:hAnsi="Times New Roman" w:cs="Times New Roman"/>
          <w:b/>
          <w:sz w:val="24"/>
          <w:szCs w:val="24"/>
        </w:rPr>
        <w:t>º -</w:t>
      </w:r>
      <w:r w:rsidRPr="00D22F3D">
        <w:rPr>
          <w:rFonts w:ascii="Times New Roman" w:hAnsi="Times New Roman" w:cs="Times New Roman"/>
          <w:sz w:val="24"/>
          <w:szCs w:val="24"/>
        </w:rPr>
        <w:t xml:space="preserve"> Se o projeto de lei orçamentária não for promulgado até 31 de dezembro de 2025, até que esta ocorra, a programação dele constante poderá ser executada para o atendimento de despesas correntes do Poder Executivo e Legislativo, nos limites estritamente necessários para a manutenção dos serviços essenciais, conforme a ser determinado por ato próprio de cada Poder.</w:t>
      </w:r>
    </w:p>
    <w:p w:rsidR="00D22F3D" w:rsidRPr="00D22F3D" w:rsidRDefault="00D22F3D" w:rsidP="00D22F3D">
      <w:pPr>
        <w:spacing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D22F3D">
        <w:rPr>
          <w:rFonts w:ascii="Times New Roman" w:hAnsi="Times New Roman" w:cs="Times New Roman"/>
          <w:b/>
          <w:sz w:val="24"/>
          <w:szCs w:val="24"/>
        </w:rPr>
        <w:lastRenderedPageBreak/>
        <w:t>Art. 30</w:t>
      </w:r>
      <w:r w:rsidR="005F7780">
        <w:rPr>
          <w:rFonts w:ascii="Times New Roman" w:hAnsi="Times New Roman" w:cs="Times New Roman"/>
          <w:b/>
          <w:sz w:val="24"/>
          <w:szCs w:val="24"/>
        </w:rPr>
        <w:t>º -</w:t>
      </w:r>
      <w:r w:rsidRPr="00D22F3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22F3D">
        <w:rPr>
          <w:rFonts w:ascii="Times New Roman" w:hAnsi="Times New Roman" w:cs="Times New Roman"/>
          <w:sz w:val="24"/>
          <w:szCs w:val="24"/>
        </w:rPr>
        <w:t>Fica contemplado no Plano Plurianual exercício 2026-2029, as alterações efetuadas na Lei de Diretrizes Orçamentárias para o exercício de 2027.</w:t>
      </w:r>
    </w:p>
    <w:p w:rsidR="00D22F3D" w:rsidRPr="00D22F3D" w:rsidRDefault="00D22F3D" w:rsidP="00D22F3D">
      <w:pPr>
        <w:ind w:firstLine="1417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D22F3D">
        <w:rPr>
          <w:rFonts w:ascii="Times New Roman" w:hAnsi="Times New Roman" w:cs="Times New Roman"/>
          <w:b/>
          <w:sz w:val="24"/>
          <w:szCs w:val="24"/>
        </w:rPr>
        <w:t>Art. 31</w:t>
      </w:r>
      <w:r w:rsidR="005F7780">
        <w:rPr>
          <w:rFonts w:ascii="Times New Roman" w:hAnsi="Times New Roman" w:cs="Times New Roman"/>
          <w:b/>
          <w:sz w:val="24"/>
          <w:szCs w:val="24"/>
        </w:rPr>
        <w:t>º -</w:t>
      </w:r>
      <w:proofErr w:type="gramStart"/>
      <w:r w:rsidRPr="00D22F3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22F3D">
        <w:rPr>
          <w:rFonts w:ascii="Times New Roman" w:hAnsi="Times New Roman" w:cs="Times New Roman"/>
          <w:snapToGrid w:val="0"/>
          <w:sz w:val="24"/>
          <w:szCs w:val="24"/>
        </w:rPr>
        <w:t xml:space="preserve"> </w:t>
      </w:r>
      <w:proofErr w:type="gramEnd"/>
      <w:r w:rsidRPr="00D22F3D">
        <w:rPr>
          <w:rFonts w:ascii="Times New Roman" w:hAnsi="Times New Roman" w:cs="Times New Roman"/>
          <w:snapToGrid w:val="0"/>
          <w:sz w:val="24"/>
          <w:szCs w:val="24"/>
        </w:rPr>
        <w:t>Fica o Poder Executivo, autorizado a realizar, por meio de Decreto, as devidas e necessárias adequações orçamentárias e financeiras que se fizerem necessárias decorrentes da implementação da Lei Complementar nº 214/2025 de 16 de janeiro de 2025, conhecida com Reforma Tributária do Consumo.</w:t>
      </w:r>
    </w:p>
    <w:p w:rsidR="00D22F3D" w:rsidRPr="00D22F3D" w:rsidRDefault="00D22F3D" w:rsidP="00D22F3D">
      <w:pPr>
        <w:ind w:firstLine="1417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D22F3D">
        <w:rPr>
          <w:rFonts w:ascii="Times New Roman" w:hAnsi="Times New Roman" w:cs="Times New Roman"/>
          <w:b/>
          <w:snapToGrid w:val="0"/>
          <w:sz w:val="24"/>
          <w:szCs w:val="24"/>
        </w:rPr>
        <w:t xml:space="preserve">Parágrafo Único: </w:t>
      </w:r>
      <w:r w:rsidRPr="00D22F3D">
        <w:rPr>
          <w:rFonts w:ascii="Times New Roman" w:hAnsi="Times New Roman" w:cs="Times New Roman"/>
          <w:snapToGrid w:val="0"/>
          <w:sz w:val="24"/>
          <w:szCs w:val="24"/>
        </w:rPr>
        <w:t xml:space="preserve">As despesas decorrentes de treinamento de pessoal, incremento de despesas com software, equipamentos e outras decorrentes desta, serão suportadas pela atividade </w:t>
      </w:r>
      <w:r w:rsidRPr="00D22F3D">
        <w:rPr>
          <w:rFonts w:ascii="Times New Roman" w:hAnsi="Times New Roman" w:cs="Times New Roman"/>
          <w:i/>
          <w:snapToGrid w:val="0"/>
          <w:sz w:val="24"/>
          <w:szCs w:val="24"/>
        </w:rPr>
        <w:t>2.006 Manutenção da Arrecadação e Escrituração Municipal</w:t>
      </w:r>
      <w:r w:rsidRPr="00D22F3D">
        <w:rPr>
          <w:rFonts w:ascii="Times New Roman" w:hAnsi="Times New Roman" w:cs="Times New Roman"/>
          <w:snapToGrid w:val="0"/>
          <w:sz w:val="24"/>
          <w:szCs w:val="24"/>
        </w:rPr>
        <w:t>.</w:t>
      </w:r>
    </w:p>
    <w:p w:rsidR="00D22F3D" w:rsidRPr="00D22F3D" w:rsidRDefault="00D22F3D" w:rsidP="00D22F3D">
      <w:pPr>
        <w:spacing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D22F3D">
        <w:rPr>
          <w:rFonts w:ascii="Times New Roman" w:hAnsi="Times New Roman" w:cs="Times New Roman"/>
          <w:b/>
          <w:sz w:val="24"/>
          <w:szCs w:val="24"/>
        </w:rPr>
        <w:t>Art. 32</w:t>
      </w:r>
      <w:r w:rsidR="005F7780">
        <w:rPr>
          <w:rFonts w:ascii="Times New Roman" w:hAnsi="Times New Roman" w:cs="Times New Roman"/>
          <w:b/>
          <w:sz w:val="24"/>
          <w:szCs w:val="24"/>
        </w:rPr>
        <w:t>º -</w:t>
      </w:r>
      <w:r w:rsidRPr="00D22F3D">
        <w:rPr>
          <w:rFonts w:ascii="Times New Roman" w:hAnsi="Times New Roman" w:cs="Times New Roman"/>
          <w:sz w:val="24"/>
          <w:szCs w:val="24"/>
        </w:rPr>
        <w:t xml:space="preserve"> Esta Lei entra em vigor na data de sua publicação, revogadas as disposições em contrário, com eficácia a partir de 1° (primeiro) de janeiro de 2027.</w:t>
      </w:r>
    </w:p>
    <w:p w:rsidR="00D22F3D" w:rsidRPr="00D22F3D" w:rsidRDefault="005F7780" w:rsidP="005F778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22F3D" w:rsidRPr="00D22F3D">
        <w:rPr>
          <w:rFonts w:ascii="Times New Roman" w:hAnsi="Times New Roman" w:cs="Times New Roman"/>
          <w:sz w:val="24"/>
          <w:szCs w:val="24"/>
        </w:rPr>
        <w:t>Gabinete do Prefeito Municipal de Ponte Preta, aos 14 dias do mês de setembro de 2026.</w:t>
      </w:r>
    </w:p>
    <w:p w:rsidR="00D22F3D" w:rsidRPr="00D22F3D" w:rsidRDefault="00D22F3D" w:rsidP="00D22F3D">
      <w:pPr>
        <w:spacing w:line="276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D22F3D" w:rsidRPr="00D22F3D" w:rsidRDefault="00D22F3D" w:rsidP="00D22F3D">
      <w:pPr>
        <w:spacing w:line="276" w:lineRule="auto"/>
        <w:ind w:left="1416"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D22F3D" w:rsidRPr="00D22F3D" w:rsidRDefault="00D22F3D" w:rsidP="00D22F3D">
      <w:pPr>
        <w:spacing w:line="276" w:lineRule="auto"/>
        <w:ind w:left="1416"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D22F3D" w:rsidRPr="00D22F3D" w:rsidRDefault="00D22F3D" w:rsidP="00D22F3D">
      <w:pPr>
        <w:spacing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D22F3D">
        <w:rPr>
          <w:rFonts w:ascii="Times New Roman" w:hAnsi="Times New Roman" w:cs="Times New Roman"/>
          <w:b/>
          <w:i/>
          <w:sz w:val="24"/>
          <w:szCs w:val="24"/>
        </w:rPr>
        <w:t>JOSIEL FERNANDO GRISELI,</w:t>
      </w:r>
    </w:p>
    <w:p w:rsidR="00D22F3D" w:rsidRPr="00D22F3D" w:rsidRDefault="00D22F3D" w:rsidP="00D22F3D">
      <w:pPr>
        <w:spacing w:line="276" w:lineRule="auto"/>
        <w:ind w:left="1416" w:firstLine="708"/>
        <w:rPr>
          <w:rFonts w:ascii="Times New Roman" w:hAnsi="Times New Roman" w:cs="Times New Roman"/>
          <w:sz w:val="24"/>
          <w:szCs w:val="24"/>
        </w:rPr>
      </w:pPr>
      <w:r w:rsidRPr="00D22F3D">
        <w:rPr>
          <w:rFonts w:ascii="Times New Roman" w:hAnsi="Times New Roman" w:cs="Times New Roman"/>
          <w:sz w:val="24"/>
          <w:szCs w:val="24"/>
        </w:rPr>
        <w:t xml:space="preserve">                       Prefeito Municipal.</w:t>
      </w:r>
    </w:p>
    <w:p w:rsidR="00D22F3D" w:rsidRPr="00D22F3D" w:rsidRDefault="00D22F3D" w:rsidP="00D22F3D">
      <w:pPr>
        <w:spacing w:line="276" w:lineRule="auto"/>
        <w:ind w:left="1416" w:firstLine="708"/>
        <w:rPr>
          <w:rFonts w:ascii="Times New Roman" w:hAnsi="Times New Roman" w:cs="Times New Roman"/>
          <w:sz w:val="24"/>
          <w:szCs w:val="24"/>
        </w:rPr>
      </w:pPr>
    </w:p>
    <w:p w:rsidR="00D22F3D" w:rsidRPr="00D22F3D" w:rsidRDefault="00D22F3D" w:rsidP="00D22F3D">
      <w:pPr>
        <w:spacing w:line="276" w:lineRule="auto"/>
        <w:ind w:left="1416" w:firstLine="708"/>
        <w:rPr>
          <w:rFonts w:ascii="Times New Roman" w:hAnsi="Times New Roman" w:cs="Times New Roman"/>
          <w:sz w:val="24"/>
          <w:szCs w:val="24"/>
        </w:rPr>
      </w:pPr>
    </w:p>
    <w:p w:rsidR="00D22F3D" w:rsidRPr="00D22F3D" w:rsidRDefault="00D22F3D" w:rsidP="00D22F3D">
      <w:pPr>
        <w:spacing w:line="276" w:lineRule="auto"/>
        <w:ind w:left="1416" w:firstLine="708"/>
        <w:rPr>
          <w:rFonts w:ascii="Times New Roman" w:hAnsi="Times New Roman" w:cs="Times New Roman"/>
          <w:sz w:val="24"/>
          <w:szCs w:val="24"/>
        </w:rPr>
      </w:pPr>
    </w:p>
    <w:p w:rsidR="00D22F3D" w:rsidRPr="00D22F3D" w:rsidRDefault="00D22F3D" w:rsidP="00D22F3D">
      <w:pPr>
        <w:spacing w:line="276" w:lineRule="auto"/>
        <w:ind w:left="1416" w:firstLine="708"/>
        <w:rPr>
          <w:rFonts w:ascii="Times New Roman" w:hAnsi="Times New Roman" w:cs="Times New Roman"/>
          <w:sz w:val="24"/>
          <w:szCs w:val="24"/>
        </w:rPr>
      </w:pPr>
    </w:p>
    <w:p w:rsidR="00D22F3D" w:rsidRPr="00D22F3D" w:rsidRDefault="00D22F3D" w:rsidP="00D22F3D">
      <w:pPr>
        <w:spacing w:line="276" w:lineRule="auto"/>
        <w:ind w:left="1416" w:firstLine="708"/>
        <w:rPr>
          <w:rFonts w:ascii="Times New Roman" w:hAnsi="Times New Roman" w:cs="Times New Roman"/>
          <w:sz w:val="24"/>
          <w:szCs w:val="24"/>
        </w:rPr>
      </w:pPr>
    </w:p>
    <w:p w:rsidR="00D22F3D" w:rsidRPr="00D22F3D" w:rsidRDefault="00D22F3D" w:rsidP="00D22F3D">
      <w:pPr>
        <w:spacing w:line="276" w:lineRule="auto"/>
        <w:ind w:left="1416" w:firstLine="708"/>
        <w:rPr>
          <w:rFonts w:ascii="Times New Roman" w:hAnsi="Times New Roman" w:cs="Times New Roman"/>
          <w:sz w:val="24"/>
          <w:szCs w:val="24"/>
        </w:rPr>
      </w:pPr>
    </w:p>
    <w:p w:rsidR="00D22F3D" w:rsidRPr="00D22F3D" w:rsidRDefault="00D22F3D" w:rsidP="00D22F3D">
      <w:pPr>
        <w:spacing w:line="276" w:lineRule="auto"/>
        <w:ind w:left="1416" w:firstLine="708"/>
        <w:rPr>
          <w:rFonts w:ascii="Times New Roman" w:hAnsi="Times New Roman" w:cs="Times New Roman"/>
          <w:sz w:val="24"/>
          <w:szCs w:val="24"/>
        </w:rPr>
      </w:pPr>
    </w:p>
    <w:p w:rsidR="00D22F3D" w:rsidRPr="00D22F3D" w:rsidRDefault="00D22F3D" w:rsidP="00D22F3D">
      <w:pPr>
        <w:spacing w:line="276" w:lineRule="auto"/>
        <w:ind w:left="1416" w:firstLine="708"/>
        <w:rPr>
          <w:rFonts w:ascii="Times New Roman" w:hAnsi="Times New Roman" w:cs="Times New Roman"/>
          <w:sz w:val="24"/>
          <w:szCs w:val="24"/>
        </w:rPr>
      </w:pPr>
    </w:p>
    <w:p w:rsidR="00D22F3D" w:rsidRPr="00D22F3D" w:rsidRDefault="00D22F3D" w:rsidP="00D22F3D">
      <w:pPr>
        <w:spacing w:line="276" w:lineRule="auto"/>
        <w:ind w:left="1416" w:firstLine="708"/>
        <w:rPr>
          <w:rFonts w:ascii="Times New Roman" w:hAnsi="Times New Roman" w:cs="Times New Roman"/>
          <w:sz w:val="24"/>
          <w:szCs w:val="24"/>
        </w:rPr>
      </w:pPr>
    </w:p>
    <w:p w:rsidR="00D22F3D" w:rsidRPr="00D22F3D" w:rsidRDefault="00D22F3D" w:rsidP="00D22F3D">
      <w:pPr>
        <w:spacing w:line="276" w:lineRule="auto"/>
        <w:ind w:left="1416" w:firstLine="708"/>
        <w:rPr>
          <w:rFonts w:ascii="Times New Roman" w:hAnsi="Times New Roman" w:cs="Times New Roman"/>
          <w:sz w:val="24"/>
          <w:szCs w:val="24"/>
        </w:rPr>
      </w:pPr>
    </w:p>
    <w:p w:rsidR="00D22F3D" w:rsidRPr="00D22F3D" w:rsidRDefault="00D22F3D" w:rsidP="00D22F3D">
      <w:pPr>
        <w:spacing w:line="276" w:lineRule="auto"/>
        <w:ind w:left="1416" w:firstLine="708"/>
        <w:rPr>
          <w:rFonts w:ascii="Times New Roman" w:hAnsi="Times New Roman" w:cs="Times New Roman"/>
          <w:sz w:val="24"/>
          <w:szCs w:val="24"/>
        </w:rPr>
      </w:pPr>
    </w:p>
    <w:p w:rsidR="00D22F3D" w:rsidRPr="00D22F3D" w:rsidRDefault="00D22F3D" w:rsidP="00D22F3D">
      <w:pPr>
        <w:spacing w:line="276" w:lineRule="auto"/>
        <w:ind w:left="1416" w:firstLine="708"/>
        <w:rPr>
          <w:rFonts w:ascii="Times New Roman" w:hAnsi="Times New Roman" w:cs="Times New Roman"/>
          <w:sz w:val="24"/>
          <w:szCs w:val="24"/>
        </w:rPr>
      </w:pPr>
    </w:p>
    <w:p w:rsidR="00D22F3D" w:rsidRPr="00D22F3D" w:rsidRDefault="00D22F3D" w:rsidP="00D22F3D">
      <w:pPr>
        <w:spacing w:line="276" w:lineRule="auto"/>
        <w:ind w:left="1416" w:firstLine="708"/>
        <w:rPr>
          <w:rFonts w:ascii="Times New Roman" w:hAnsi="Times New Roman" w:cs="Times New Roman"/>
          <w:sz w:val="24"/>
          <w:szCs w:val="24"/>
        </w:rPr>
      </w:pPr>
    </w:p>
    <w:p w:rsidR="00D22F3D" w:rsidRPr="00D22F3D" w:rsidRDefault="00D22F3D" w:rsidP="00D22F3D">
      <w:pPr>
        <w:spacing w:line="276" w:lineRule="auto"/>
        <w:ind w:left="1416" w:firstLine="708"/>
        <w:rPr>
          <w:rFonts w:ascii="Times New Roman" w:hAnsi="Times New Roman" w:cs="Times New Roman"/>
          <w:sz w:val="24"/>
          <w:szCs w:val="24"/>
        </w:rPr>
      </w:pPr>
    </w:p>
    <w:p w:rsidR="00D22F3D" w:rsidRDefault="00D22F3D" w:rsidP="00D22F3D">
      <w:pPr>
        <w:spacing w:line="276" w:lineRule="auto"/>
        <w:ind w:left="1416" w:firstLine="708"/>
        <w:rPr>
          <w:rFonts w:ascii="Times New Roman" w:hAnsi="Times New Roman" w:cs="Times New Roman"/>
          <w:sz w:val="24"/>
          <w:szCs w:val="24"/>
        </w:rPr>
      </w:pPr>
    </w:p>
    <w:p w:rsidR="00D347B7" w:rsidRDefault="00D347B7" w:rsidP="00D22F3D">
      <w:pPr>
        <w:spacing w:line="276" w:lineRule="auto"/>
        <w:ind w:left="1416" w:firstLine="708"/>
        <w:rPr>
          <w:rFonts w:ascii="Times New Roman" w:hAnsi="Times New Roman" w:cs="Times New Roman"/>
          <w:sz w:val="24"/>
          <w:szCs w:val="24"/>
        </w:rPr>
      </w:pPr>
    </w:p>
    <w:p w:rsidR="00D347B7" w:rsidRPr="00D22F3D" w:rsidRDefault="00D347B7" w:rsidP="00D22F3D">
      <w:pPr>
        <w:spacing w:line="276" w:lineRule="auto"/>
        <w:ind w:left="1416" w:firstLine="708"/>
        <w:rPr>
          <w:rFonts w:ascii="Times New Roman" w:hAnsi="Times New Roman" w:cs="Times New Roman"/>
          <w:sz w:val="24"/>
          <w:szCs w:val="24"/>
        </w:rPr>
      </w:pPr>
    </w:p>
    <w:p w:rsidR="00D22F3D" w:rsidRPr="00D22F3D" w:rsidRDefault="00D22F3D" w:rsidP="00D22F3D">
      <w:pPr>
        <w:spacing w:line="276" w:lineRule="auto"/>
        <w:ind w:left="1416" w:firstLine="708"/>
        <w:rPr>
          <w:rFonts w:ascii="Times New Roman" w:hAnsi="Times New Roman" w:cs="Times New Roman"/>
          <w:sz w:val="24"/>
          <w:szCs w:val="24"/>
        </w:rPr>
      </w:pPr>
    </w:p>
    <w:p w:rsidR="00D22F3D" w:rsidRPr="00D22F3D" w:rsidRDefault="00D22F3D" w:rsidP="00D22F3D">
      <w:pPr>
        <w:spacing w:line="276" w:lineRule="auto"/>
        <w:ind w:left="1416" w:firstLine="708"/>
        <w:rPr>
          <w:rFonts w:ascii="Times New Roman" w:hAnsi="Times New Roman" w:cs="Times New Roman"/>
          <w:sz w:val="24"/>
          <w:szCs w:val="24"/>
        </w:rPr>
      </w:pPr>
    </w:p>
    <w:p w:rsidR="00D22F3D" w:rsidRPr="00D22F3D" w:rsidRDefault="00D22F3D" w:rsidP="00D22F3D">
      <w:pPr>
        <w:spacing w:line="276" w:lineRule="auto"/>
        <w:ind w:left="1416" w:firstLine="708"/>
        <w:rPr>
          <w:rFonts w:ascii="Times New Roman" w:hAnsi="Times New Roman" w:cs="Times New Roman"/>
          <w:sz w:val="24"/>
          <w:szCs w:val="24"/>
        </w:rPr>
      </w:pPr>
    </w:p>
    <w:p w:rsidR="00D22F3D" w:rsidRPr="00D22F3D" w:rsidRDefault="00D22F3D" w:rsidP="00D22F3D">
      <w:pPr>
        <w:rPr>
          <w:rFonts w:ascii="Times New Roman" w:hAnsi="Times New Roman" w:cs="Times New Roman"/>
          <w:sz w:val="24"/>
          <w:szCs w:val="24"/>
        </w:rPr>
      </w:pPr>
      <w:r w:rsidRPr="00D22F3D">
        <w:rPr>
          <w:rFonts w:ascii="Times New Roman" w:hAnsi="Times New Roman" w:cs="Times New Roman"/>
          <w:sz w:val="24"/>
          <w:szCs w:val="24"/>
        </w:rPr>
        <w:t>Ao Exmo. Sr.</w:t>
      </w:r>
    </w:p>
    <w:p w:rsidR="00D22F3D" w:rsidRPr="00D22F3D" w:rsidRDefault="00D22F3D" w:rsidP="00D22F3D">
      <w:pPr>
        <w:rPr>
          <w:rFonts w:ascii="Times New Roman" w:hAnsi="Times New Roman" w:cs="Times New Roman"/>
          <w:sz w:val="24"/>
          <w:szCs w:val="24"/>
        </w:rPr>
      </w:pPr>
      <w:r w:rsidRPr="00D22F3D">
        <w:rPr>
          <w:rFonts w:ascii="Times New Roman" w:hAnsi="Times New Roman" w:cs="Times New Roman"/>
          <w:b/>
          <w:sz w:val="24"/>
          <w:szCs w:val="24"/>
        </w:rPr>
        <w:t>LAÉRCIO BRUM</w:t>
      </w:r>
    </w:p>
    <w:p w:rsidR="00D22F3D" w:rsidRPr="00D22F3D" w:rsidRDefault="00D22F3D" w:rsidP="00D22F3D">
      <w:pPr>
        <w:rPr>
          <w:rFonts w:ascii="Times New Roman" w:hAnsi="Times New Roman" w:cs="Times New Roman"/>
          <w:sz w:val="24"/>
          <w:szCs w:val="24"/>
        </w:rPr>
      </w:pPr>
      <w:r w:rsidRPr="00D22F3D">
        <w:rPr>
          <w:rFonts w:ascii="Times New Roman" w:hAnsi="Times New Roman" w:cs="Times New Roman"/>
          <w:sz w:val="24"/>
          <w:szCs w:val="24"/>
        </w:rPr>
        <w:t>MD. Presidente da Câmara de Vereadores</w:t>
      </w:r>
    </w:p>
    <w:p w:rsidR="00D22F3D" w:rsidRPr="00D22F3D" w:rsidRDefault="00D22F3D" w:rsidP="00D22F3D">
      <w:pPr>
        <w:tabs>
          <w:tab w:val="left" w:pos="2370"/>
        </w:tabs>
        <w:rPr>
          <w:rFonts w:ascii="Times New Roman" w:hAnsi="Times New Roman" w:cs="Times New Roman"/>
          <w:sz w:val="24"/>
          <w:szCs w:val="24"/>
        </w:rPr>
      </w:pPr>
      <w:r w:rsidRPr="00D22F3D">
        <w:rPr>
          <w:rFonts w:ascii="Times New Roman" w:hAnsi="Times New Roman" w:cs="Times New Roman"/>
          <w:sz w:val="24"/>
          <w:szCs w:val="24"/>
        </w:rPr>
        <w:t>Nesta Cidade</w:t>
      </w:r>
      <w:r w:rsidRPr="00D22F3D">
        <w:rPr>
          <w:rFonts w:ascii="Times New Roman" w:hAnsi="Times New Roman" w:cs="Times New Roman"/>
          <w:sz w:val="24"/>
          <w:szCs w:val="24"/>
        </w:rPr>
        <w:tab/>
      </w:r>
    </w:p>
    <w:p w:rsidR="00D22F3D" w:rsidRPr="00D22F3D" w:rsidRDefault="00D22F3D" w:rsidP="00D22F3D">
      <w:pPr>
        <w:rPr>
          <w:rFonts w:ascii="Times New Roman" w:hAnsi="Times New Roman" w:cs="Times New Roman"/>
          <w:sz w:val="24"/>
          <w:szCs w:val="24"/>
        </w:rPr>
      </w:pPr>
    </w:p>
    <w:p w:rsidR="00D22F3D" w:rsidRPr="00D22F3D" w:rsidRDefault="00D22F3D" w:rsidP="00D22F3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22F3D">
        <w:rPr>
          <w:rFonts w:ascii="Times New Roman" w:hAnsi="Times New Roman" w:cs="Times New Roman"/>
          <w:sz w:val="24"/>
          <w:szCs w:val="24"/>
        </w:rPr>
        <w:t xml:space="preserve"> </w:t>
      </w:r>
      <w:r w:rsidRPr="00D22F3D">
        <w:rPr>
          <w:rFonts w:ascii="Times New Roman" w:hAnsi="Times New Roman" w:cs="Times New Roman"/>
          <w:sz w:val="24"/>
          <w:szCs w:val="24"/>
        </w:rPr>
        <w:tab/>
        <w:t xml:space="preserve">Assunto: </w:t>
      </w:r>
      <w:r w:rsidRPr="00D22F3D">
        <w:rPr>
          <w:rFonts w:ascii="Times New Roman" w:hAnsi="Times New Roman" w:cs="Times New Roman"/>
          <w:b/>
          <w:sz w:val="24"/>
          <w:szCs w:val="24"/>
        </w:rPr>
        <w:t>Encaminhamento e Justificativa do Projeto de Lei nº 031/2026.</w:t>
      </w:r>
    </w:p>
    <w:p w:rsidR="00D22F3D" w:rsidRPr="00D22F3D" w:rsidRDefault="00D22F3D" w:rsidP="00D22F3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22F3D" w:rsidRPr="00D22F3D" w:rsidRDefault="005F7780" w:rsidP="00D22F3D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="00D22F3D" w:rsidRPr="00D22F3D">
        <w:rPr>
          <w:rFonts w:ascii="Times New Roman" w:hAnsi="Times New Roman" w:cs="Times New Roman"/>
          <w:sz w:val="24"/>
          <w:szCs w:val="24"/>
        </w:rPr>
        <w:t>Prezados Senhores:</w:t>
      </w:r>
    </w:p>
    <w:p w:rsidR="00D22F3D" w:rsidRPr="00D22F3D" w:rsidRDefault="00D22F3D" w:rsidP="00D22F3D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82380917"/>
      <w:r w:rsidRPr="00D22F3D">
        <w:rPr>
          <w:rFonts w:ascii="Times New Roman" w:hAnsi="Times New Roman" w:cs="Times New Roman"/>
          <w:sz w:val="24"/>
          <w:szCs w:val="24"/>
        </w:rPr>
        <w:tab/>
        <w:t>Em cumprimento ao estabelecido na Lei de Responsabilidade Fiscal, o Poder Executivo Municipal está apresentando a Lei de Diretrizes Orçamentárias - LDO do Município para o exercício de 2027.</w:t>
      </w:r>
    </w:p>
    <w:p w:rsidR="00D22F3D" w:rsidRPr="00D22F3D" w:rsidRDefault="00D22F3D" w:rsidP="00D22F3D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22F3D" w:rsidRPr="00D22F3D" w:rsidRDefault="00D22F3D" w:rsidP="00D22F3D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2F3D">
        <w:rPr>
          <w:rFonts w:ascii="Times New Roman" w:hAnsi="Times New Roman" w:cs="Times New Roman"/>
          <w:b/>
          <w:sz w:val="24"/>
          <w:szCs w:val="24"/>
        </w:rPr>
        <w:t>1 – Detalhamento da Receita Prevista</w:t>
      </w:r>
    </w:p>
    <w:tbl>
      <w:tblPr>
        <w:tblW w:w="9328" w:type="dxa"/>
        <w:tblInd w:w="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20"/>
        <w:gridCol w:w="2104"/>
        <w:gridCol w:w="2104"/>
      </w:tblGrid>
      <w:tr w:rsidR="00D22F3D" w:rsidRPr="00D22F3D" w:rsidTr="00EB6F5A">
        <w:trPr>
          <w:trHeight w:val="263"/>
        </w:trPr>
        <w:tc>
          <w:tcPr>
            <w:tcW w:w="51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D22F3D" w:rsidRPr="00D22F3D" w:rsidRDefault="00D22F3D" w:rsidP="00EB6F5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2F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ESPECIFICAÇÃO</w:t>
            </w:r>
          </w:p>
        </w:tc>
        <w:tc>
          <w:tcPr>
            <w:tcW w:w="210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:rsidR="00D22F3D" w:rsidRPr="00D22F3D" w:rsidRDefault="00D22F3D" w:rsidP="00EB6F5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2F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RE-PROJETADA</w:t>
            </w:r>
          </w:p>
        </w:tc>
        <w:tc>
          <w:tcPr>
            <w:tcW w:w="210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:rsidR="00D22F3D" w:rsidRPr="00D22F3D" w:rsidRDefault="00D22F3D" w:rsidP="00EB6F5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2F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PROJETADA</w:t>
            </w:r>
          </w:p>
        </w:tc>
      </w:tr>
      <w:tr w:rsidR="00D22F3D" w:rsidRPr="00D22F3D" w:rsidTr="00EB6F5A">
        <w:trPr>
          <w:trHeight w:val="279"/>
        </w:trPr>
        <w:tc>
          <w:tcPr>
            <w:tcW w:w="51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22F3D" w:rsidRPr="00D22F3D" w:rsidRDefault="00D22F3D" w:rsidP="00EB6F5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:rsidR="00D22F3D" w:rsidRPr="00D22F3D" w:rsidRDefault="00D22F3D" w:rsidP="00EB6F5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2F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2.026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:rsidR="00D22F3D" w:rsidRPr="00D22F3D" w:rsidRDefault="00D22F3D" w:rsidP="00EB6F5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2F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2.027</w:t>
            </w:r>
          </w:p>
        </w:tc>
      </w:tr>
      <w:tr w:rsidR="00D22F3D" w:rsidRPr="00D22F3D" w:rsidTr="00EB6F5A">
        <w:trPr>
          <w:trHeight w:val="263"/>
        </w:trPr>
        <w:tc>
          <w:tcPr>
            <w:tcW w:w="51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22F3D" w:rsidRPr="00D22F3D" w:rsidRDefault="00D22F3D" w:rsidP="00EB6F5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2F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RECEITAS CORRENTES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22F3D" w:rsidRPr="00D22F3D" w:rsidRDefault="00D22F3D" w:rsidP="00EB6F5A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2F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32.871.734,40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22F3D" w:rsidRPr="00D22F3D" w:rsidRDefault="00D22F3D" w:rsidP="00EB6F5A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2F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34.500.000,00</w:t>
            </w:r>
          </w:p>
        </w:tc>
      </w:tr>
      <w:tr w:rsidR="00D22F3D" w:rsidRPr="00D22F3D" w:rsidTr="00EB6F5A">
        <w:trPr>
          <w:trHeight w:val="263"/>
        </w:trPr>
        <w:tc>
          <w:tcPr>
            <w:tcW w:w="51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22F3D" w:rsidRPr="00D22F3D" w:rsidRDefault="00D22F3D" w:rsidP="00EB6F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2F3D">
              <w:rPr>
                <w:rFonts w:ascii="Times New Roman" w:hAnsi="Times New Roman" w:cs="Times New Roman"/>
                <w:sz w:val="24"/>
                <w:szCs w:val="24"/>
              </w:rPr>
              <w:t>RECEITA TRIBUTÁRIA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22F3D" w:rsidRPr="00D22F3D" w:rsidRDefault="00D22F3D" w:rsidP="00EB6F5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22F3D">
              <w:rPr>
                <w:rFonts w:ascii="Times New Roman" w:hAnsi="Times New Roman" w:cs="Times New Roman"/>
                <w:sz w:val="24"/>
                <w:szCs w:val="24"/>
              </w:rPr>
              <w:t>1.544.000,00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22F3D" w:rsidRPr="00D22F3D" w:rsidRDefault="00D22F3D" w:rsidP="00EB6F5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22F3D">
              <w:rPr>
                <w:rFonts w:ascii="Times New Roman" w:hAnsi="Times New Roman" w:cs="Times New Roman"/>
                <w:sz w:val="24"/>
                <w:szCs w:val="24"/>
              </w:rPr>
              <w:t>1.735.000,00</w:t>
            </w:r>
          </w:p>
        </w:tc>
      </w:tr>
      <w:tr w:rsidR="00D22F3D" w:rsidRPr="00D22F3D" w:rsidTr="00EB6F5A">
        <w:trPr>
          <w:trHeight w:val="263"/>
        </w:trPr>
        <w:tc>
          <w:tcPr>
            <w:tcW w:w="51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22F3D" w:rsidRPr="00D22F3D" w:rsidRDefault="00D22F3D" w:rsidP="00EB6F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2F3D">
              <w:rPr>
                <w:rFonts w:ascii="Times New Roman" w:hAnsi="Times New Roman" w:cs="Times New Roman"/>
                <w:sz w:val="24"/>
                <w:szCs w:val="24"/>
              </w:rPr>
              <w:t>RECEITA PATRIMONIAL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22F3D" w:rsidRPr="00D22F3D" w:rsidRDefault="00D22F3D" w:rsidP="00EB6F5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22F3D">
              <w:rPr>
                <w:rFonts w:ascii="Times New Roman" w:hAnsi="Times New Roman" w:cs="Times New Roman"/>
                <w:sz w:val="24"/>
                <w:szCs w:val="24"/>
              </w:rPr>
              <w:t>1.642.500,00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22F3D" w:rsidRPr="00D22F3D" w:rsidRDefault="00D22F3D" w:rsidP="00EB6F5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22F3D">
              <w:rPr>
                <w:rFonts w:ascii="Times New Roman" w:hAnsi="Times New Roman" w:cs="Times New Roman"/>
                <w:sz w:val="24"/>
                <w:szCs w:val="24"/>
              </w:rPr>
              <w:t>1.551.000,00</w:t>
            </w:r>
          </w:p>
        </w:tc>
      </w:tr>
      <w:tr w:rsidR="00D22F3D" w:rsidRPr="00D22F3D" w:rsidTr="00EB6F5A">
        <w:trPr>
          <w:trHeight w:val="263"/>
        </w:trPr>
        <w:tc>
          <w:tcPr>
            <w:tcW w:w="51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22F3D" w:rsidRPr="00D22F3D" w:rsidRDefault="00D22F3D" w:rsidP="00EB6F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2F3D">
              <w:rPr>
                <w:rFonts w:ascii="Times New Roman" w:hAnsi="Times New Roman" w:cs="Times New Roman"/>
                <w:sz w:val="24"/>
                <w:szCs w:val="24"/>
              </w:rPr>
              <w:t>RECEITA AGROPECUÁRIA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22F3D" w:rsidRPr="00D22F3D" w:rsidRDefault="00D22F3D" w:rsidP="00EB6F5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22F3D">
              <w:rPr>
                <w:rFonts w:ascii="Times New Roman" w:hAnsi="Times New Roman" w:cs="Times New Roman"/>
                <w:sz w:val="24"/>
                <w:szCs w:val="24"/>
              </w:rPr>
              <w:t>220.000,00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22F3D" w:rsidRPr="00D22F3D" w:rsidRDefault="00D22F3D" w:rsidP="00EB6F5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22F3D">
              <w:rPr>
                <w:rFonts w:ascii="Times New Roman" w:hAnsi="Times New Roman" w:cs="Times New Roman"/>
                <w:sz w:val="24"/>
                <w:szCs w:val="24"/>
              </w:rPr>
              <w:t>230.000,00</w:t>
            </w:r>
          </w:p>
        </w:tc>
      </w:tr>
      <w:tr w:rsidR="00D22F3D" w:rsidRPr="00D22F3D" w:rsidTr="00EB6F5A">
        <w:trPr>
          <w:trHeight w:val="263"/>
        </w:trPr>
        <w:tc>
          <w:tcPr>
            <w:tcW w:w="51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22F3D" w:rsidRPr="00D22F3D" w:rsidRDefault="00D22F3D" w:rsidP="00EB6F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2F3D">
              <w:rPr>
                <w:rFonts w:ascii="Times New Roman" w:hAnsi="Times New Roman" w:cs="Times New Roman"/>
                <w:sz w:val="24"/>
                <w:szCs w:val="24"/>
              </w:rPr>
              <w:t xml:space="preserve">RECEITA DE SERVIÇOS   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22F3D" w:rsidRPr="00D22F3D" w:rsidRDefault="00D22F3D" w:rsidP="00EB6F5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22F3D">
              <w:rPr>
                <w:rFonts w:ascii="Times New Roman" w:hAnsi="Times New Roman" w:cs="Times New Roman"/>
                <w:sz w:val="24"/>
                <w:szCs w:val="24"/>
              </w:rPr>
              <w:t>220.000,00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22F3D" w:rsidRPr="00D22F3D" w:rsidRDefault="00D22F3D" w:rsidP="00EB6F5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22F3D">
              <w:rPr>
                <w:rFonts w:ascii="Times New Roman" w:hAnsi="Times New Roman" w:cs="Times New Roman"/>
                <w:sz w:val="24"/>
                <w:szCs w:val="24"/>
              </w:rPr>
              <w:t>240.000,00</w:t>
            </w:r>
          </w:p>
        </w:tc>
      </w:tr>
      <w:tr w:rsidR="00D22F3D" w:rsidRPr="00D22F3D" w:rsidTr="00EB6F5A">
        <w:trPr>
          <w:trHeight w:val="263"/>
        </w:trPr>
        <w:tc>
          <w:tcPr>
            <w:tcW w:w="51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22F3D" w:rsidRPr="00D22F3D" w:rsidRDefault="00D22F3D" w:rsidP="00EB6F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2F3D">
              <w:rPr>
                <w:rFonts w:ascii="Times New Roman" w:hAnsi="Times New Roman" w:cs="Times New Roman"/>
                <w:sz w:val="24"/>
                <w:szCs w:val="24"/>
              </w:rPr>
              <w:t>TRANSFERÊNCIAS CORRENTES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22F3D" w:rsidRPr="00D22F3D" w:rsidRDefault="00D22F3D" w:rsidP="00EB6F5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22F3D">
              <w:rPr>
                <w:rFonts w:ascii="Times New Roman" w:hAnsi="Times New Roman" w:cs="Times New Roman"/>
                <w:sz w:val="24"/>
                <w:szCs w:val="24"/>
              </w:rPr>
              <w:t>29.097.234,40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22F3D" w:rsidRPr="00D22F3D" w:rsidRDefault="00D22F3D" w:rsidP="00EB6F5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22F3D">
              <w:rPr>
                <w:rFonts w:ascii="Times New Roman" w:hAnsi="Times New Roman" w:cs="Times New Roman"/>
                <w:sz w:val="24"/>
                <w:szCs w:val="24"/>
              </w:rPr>
              <w:t>30.585.600,00</w:t>
            </w:r>
          </w:p>
        </w:tc>
      </w:tr>
      <w:tr w:rsidR="00D22F3D" w:rsidRPr="00D22F3D" w:rsidTr="00EB6F5A">
        <w:trPr>
          <w:trHeight w:val="263"/>
        </w:trPr>
        <w:tc>
          <w:tcPr>
            <w:tcW w:w="51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22F3D" w:rsidRPr="00D22F3D" w:rsidRDefault="00D22F3D" w:rsidP="00EB6F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2F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OUTRAS RECEITAS CORRENTES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22F3D" w:rsidRPr="00D22F3D" w:rsidRDefault="00D22F3D" w:rsidP="00EB6F5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22F3D">
              <w:rPr>
                <w:rFonts w:ascii="Times New Roman" w:hAnsi="Times New Roman" w:cs="Times New Roman"/>
                <w:sz w:val="24"/>
                <w:szCs w:val="24"/>
              </w:rPr>
              <w:t>148.000,00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22F3D" w:rsidRPr="00D22F3D" w:rsidRDefault="00D22F3D" w:rsidP="00EB6F5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22F3D">
              <w:rPr>
                <w:rFonts w:ascii="Times New Roman" w:hAnsi="Times New Roman" w:cs="Times New Roman"/>
                <w:sz w:val="24"/>
                <w:szCs w:val="24"/>
              </w:rPr>
              <w:t>158.400,00</w:t>
            </w:r>
          </w:p>
        </w:tc>
      </w:tr>
      <w:tr w:rsidR="00D22F3D" w:rsidRPr="00D22F3D" w:rsidTr="00EB6F5A">
        <w:trPr>
          <w:trHeight w:val="263"/>
        </w:trPr>
        <w:tc>
          <w:tcPr>
            <w:tcW w:w="51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22F3D" w:rsidRPr="00D22F3D" w:rsidRDefault="00D22F3D" w:rsidP="00EB6F5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2F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RECEITA DE CAPITAL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22F3D" w:rsidRPr="00D22F3D" w:rsidRDefault="00D22F3D" w:rsidP="00EB6F5A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2F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3.464.100,00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22F3D" w:rsidRPr="00D22F3D" w:rsidRDefault="00D22F3D" w:rsidP="00EB6F5A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2F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2.000.000,00</w:t>
            </w:r>
          </w:p>
        </w:tc>
      </w:tr>
      <w:tr w:rsidR="00D22F3D" w:rsidRPr="00D22F3D" w:rsidTr="00EB6F5A">
        <w:trPr>
          <w:trHeight w:val="263"/>
        </w:trPr>
        <w:tc>
          <w:tcPr>
            <w:tcW w:w="51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22F3D" w:rsidRPr="00D22F3D" w:rsidRDefault="00D22F3D" w:rsidP="00EB6F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2F3D">
              <w:rPr>
                <w:rFonts w:ascii="Times New Roman" w:hAnsi="Times New Roman" w:cs="Times New Roman"/>
                <w:sz w:val="24"/>
                <w:szCs w:val="24"/>
              </w:rPr>
              <w:t>ALIENAÇÃO DE BENS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22F3D" w:rsidRPr="00D22F3D" w:rsidRDefault="00D22F3D" w:rsidP="00EB6F5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22F3D">
              <w:rPr>
                <w:rFonts w:ascii="Times New Roman" w:hAnsi="Times New Roman" w:cs="Times New Roman"/>
                <w:sz w:val="24"/>
                <w:szCs w:val="24"/>
              </w:rPr>
              <w:t>464.100,00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22F3D" w:rsidRPr="00D22F3D" w:rsidRDefault="00D22F3D" w:rsidP="00EB6F5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22F3D">
              <w:rPr>
                <w:rFonts w:ascii="Times New Roman" w:hAnsi="Times New Roman" w:cs="Times New Roman"/>
                <w:sz w:val="24"/>
                <w:szCs w:val="24"/>
              </w:rPr>
              <w:t>700.000,00</w:t>
            </w:r>
          </w:p>
        </w:tc>
      </w:tr>
      <w:tr w:rsidR="00D22F3D" w:rsidRPr="00D22F3D" w:rsidTr="00EB6F5A">
        <w:trPr>
          <w:trHeight w:val="279"/>
        </w:trPr>
        <w:tc>
          <w:tcPr>
            <w:tcW w:w="51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22F3D" w:rsidRPr="00D22F3D" w:rsidRDefault="00D22F3D" w:rsidP="00EB6F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2F3D">
              <w:rPr>
                <w:rFonts w:ascii="Times New Roman" w:hAnsi="Times New Roman" w:cs="Times New Roman"/>
                <w:sz w:val="24"/>
                <w:szCs w:val="24"/>
              </w:rPr>
              <w:t>TRANSF. DE CAPITAL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22F3D" w:rsidRPr="00D22F3D" w:rsidRDefault="00D22F3D" w:rsidP="00EB6F5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22F3D">
              <w:rPr>
                <w:rFonts w:ascii="Times New Roman" w:hAnsi="Times New Roman" w:cs="Times New Roman"/>
                <w:sz w:val="24"/>
                <w:szCs w:val="24"/>
              </w:rPr>
              <w:t>3.000.000,00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22F3D" w:rsidRPr="00D22F3D" w:rsidRDefault="00D22F3D" w:rsidP="00EB6F5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22F3D">
              <w:rPr>
                <w:rFonts w:ascii="Times New Roman" w:hAnsi="Times New Roman" w:cs="Times New Roman"/>
                <w:sz w:val="24"/>
                <w:szCs w:val="24"/>
              </w:rPr>
              <w:t>1.300.000,00</w:t>
            </w:r>
          </w:p>
        </w:tc>
      </w:tr>
      <w:tr w:rsidR="00D22F3D" w:rsidRPr="00D22F3D" w:rsidTr="00EB6F5A">
        <w:trPr>
          <w:trHeight w:val="310"/>
        </w:trPr>
        <w:tc>
          <w:tcPr>
            <w:tcW w:w="5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:rsidR="00D22F3D" w:rsidRPr="00D22F3D" w:rsidRDefault="00D22F3D" w:rsidP="00EB6F5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2F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21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:rsidR="00D22F3D" w:rsidRPr="00D22F3D" w:rsidRDefault="00D22F3D" w:rsidP="00EB6F5A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2F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36.335.834,40</w:t>
            </w:r>
          </w:p>
        </w:tc>
        <w:tc>
          <w:tcPr>
            <w:tcW w:w="21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:rsidR="00D22F3D" w:rsidRPr="00D22F3D" w:rsidRDefault="00D22F3D" w:rsidP="00EB6F5A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2F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36.500.000,00</w:t>
            </w:r>
          </w:p>
        </w:tc>
      </w:tr>
    </w:tbl>
    <w:p w:rsidR="00D22F3D" w:rsidRPr="00D22F3D" w:rsidRDefault="00D22F3D" w:rsidP="00D22F3D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22F3D" w:rsidRPr="00D22F3D" w:rsidRDefault="00D22F3D" w:rsidP="00D22F3D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F3D">
        <w:rPr>
          <w:rFonts w:ascii="Times New Roman" w:hAnsi="Times New Roman" w:cs="Times New Roman"/>
          <w:sz w:val="24"/>
          <w:szCs w:val="24"/>
        </w:rPr>
        <w:t>A projeção de arrecadação para o exercício de 2026 é de R$36.335.834,00 sendo projetado o valor de R$ 32.871.734,40 de receitas correntes e o valor de R$3.464.100,00 de receitas de capital.</w:t>
      </w:r>
    </w:p>
    <w:p w:rsidR="00D22F3D" w:rsidRPr="00D22F3D" w:rsidRDefault="00D22F3D" w:rsidP="00D22F3D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F3D">
        <w:rPr>
          <w:rFonts w:ascii="Times New Roman" w:hAnsi="Times New Roman" w:cs="Times New Roman"/>
          <w:sz w:val="24"/>
          <w:szCs w:val="24"/>
        </w:rPr>
        <w:t>Para a previsão de arrecadação de 2026, foram consideradas receitas correntes no valor de R$ 34.500.000,00 e receitas de capital no valor de R$</w:t>
      </w:r>
      <w:r w:rsidR="005F7780">
        <w:rPr>
          <w:rFonts w:ascii="Times New Roman" w:hAnsi="Times New Roman" w:cs="Times New Roman"/>
          <w:sz w:val="24"/>
          <w:szCs w:val="24"/>
        </w:rPr>
        <w:t xml:space="preserve"> </w:t>
      </w:r>
      <w:r w:rsidRPr="00D22F3D">
        <w:rPr>
          <w:rFonts w:ascii="Times New Roman" w:hAnsi="Times New Roman" w:cs="Times New Roman"/>
          <w:sz w:val="24"/>
          <w:szCs w:val="24"/>
        </w:rPr>
        <w:t>2.000.000,00, totalizando R$ 36.500.000,00.</w:t>
      </w:r>
    </w:p>
    <w:p w:rsidR="00D22F3D" w:rsidRPr="00D22F3D" w:rsidRDefault="00D22F3D" w:rsidP="005F7780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F3D">
        <w:rPr>
          <w:rFonts w:ascii="Times New Roman" w:hAnsi="Times New Roman" w:cs="Times New Roman"/>
          <w:sz w:val="24"/>
          <w:szCs w:val="24"/>
        </w:rPr>
        <w:t>Considerando estas previsões, chegamos a um percentual de aumento para o exercício de 2027, em relação as receitas correntes, que se refere ao aumento da inflação e um aumento real, em especial com relação ao FPM - Fundo de Participação dos Municípios - que é a maior arrecadação e o tributo que mais tem aumentado seu retorno neste exercício.</w:t>
      </w:r>
      <w:r w:rsidRPr="00D22F3D">
        <w:rPr>
          <w:rFonts w:ascii="Times New Roman" w:hAnsi="Times New Roman" w:cs="Times New Roman"/>
          <w:sz w:val="24"/>
          <w:szCs w:val="24"/>
        </w:rPr>
        <w:tab/>
      </w:r>
    </w:p>
    <w:p w:rsidR="00D22F3D" w:rsidRPr="00D22F3D" w:rsidRDefault="00D22F3D" w:rsidP="00D22F3D">
      <w:pPr>
        <w:numPr>
          <w:ilvl w:val="1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2F3D">
        <w:rPr>
          <w:rFonts w:ascii="Times New Roman" w:hAnsi="Times New Roman" w:cs="Times New Roman"/>
          <w:b/>
          <w:sz w:val="24"/>
          <w:szCs w:val="24"/>
        </w:rPr>
        <w:t xml:space="preserve">– Evolução da Receita Corrente </w:t>
      </w:r>
    </w:p>
    <w:p w:rsidR="00D22F3D" w:rsidRPr="00D22F3D" w:rsidRDefault="00D22F3D" w:rsidP="00D22F3D">
      <w:pPr>
        <w:spacing w:line="360" w:lineRule="auto"/>
        <w:ind w:left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22F3D" w:rsidRPr="00D22F3D" w:rsidRDefault="00D22F3D" w:rsidP="00D22F3D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F3D">
        <w:rPr>
          <w:rFonts w:ascii="Times New Roman" w:hAnsi="Times New Roman" w:cs="Times New Roman"/>
          <w:sz w:val="24"/>
          <w:szCs w:val="24"/>
        </w:rPr>
        <w:t xml:space="preserve"> Receita do Município vem em constante evolução positiva, considerando as receitas correntes sem deduções, como podemos verificar no gráfico abaixo:</w:t>
      </w:r>
    </w:p>
    <w:p w:rsidR="00D22F3D" w:rsidRPr="00D22F3D" w:rsidRDefault="00D22F3D" w:rsidP="00D22F3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2F3D">
        <w:rPr>
          <w:rFonts w:ascii="Times New Roman" w:hAnsi="Times New Roman" w:cs="Times New Roman"/>
          <w:noProof/>
          <w:sz w:val="24"/>
          <w:szCs w:val="24"/>
          <w:lang w:eastAsia="pt-BR"/>
        </w:rPr>
        <w:lastRenderedPageBreak/>
        <w:drawing>
          <wp:inline distT="0" distB="0" distL="0" distR="0">
            <wp:extent cx="5934075" cy="3695065"/>
            <wp:effectExtent l="0" t="0" r="0" b="635"/>
            <wp:docPr id="4" name="Gráfico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5F7780" w:rsidRDefault="005F7780" w:rsidP="00D22F3D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F7780" w:rsidRDefault="005F7780" w:rsidP="00D22F3D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22F3D" w:rsidRPr="00D22F3D" w:rsidRDefault="00D22F3D" w:rsidP="00D22F3D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2F3D">
        <w:rPr>
          <w:rFonts w:ascii="Times New Roman" w:hAnsi="Times New Roman" w:cs="Times New Roman"/>
          <w:b/>
          <w:sz w:val="24"/>
          <w:szCs w:val="24"/>
        </w:rPr>
        <w:t>2 – Despesas</w:t>
      </w:r>
    </w:p>
    <w:p w:rsidR="00D22F3D" w:rsidRPr="00D22F3D" w:rsidRDefault="00D22F3D" w:rsidP="00D22F3D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2F3D">
        <w:rPr>
          <w:rFonts w:ascii="Times New Roman" w:hAnsi="Times New Roman" w:cs="Times New Roman"/>
          <w:b/>
          <w:sz w:val="24"/>
          <w:szCs w:val="24"/>
        </w:rPr>
        <w:t>2.1 – Despesa por Secretaria</w:t>
      </w:r>
    </w:p>
    <w:p w:rsidR="00D22F3D" w:rsidRPr="00D22F3D" w:rsidRDefault="00D22F3D" w:rsidP="00D22F3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2F3D">
        <w:rPr>
          <w:rFonts w:ascii="Times New Roman" w:hAnsi="Times New Roman" w:cs="Times New Roman"/>
          <w:sz w:val="24"/>
          <w:szCs w:val="24"/>
        </w:rPr>
        <w:tab/>
        <w:t>As despesas do Município realizadas até o dia 31/08/2026 estão assim apresentados:</w:t>
      </w:r>
      <w:r w:rsidRPr="00D22F3D">
        <w:rPr>
          <w:rFonts w:ascii="Times New Roman" w:hAnsi="Times New Roman" w:cs="Times New Roman"/>
          <w:b/>
          <w:bCs/>
          <w:sz w:val="24"/>
          <w:szCs w:val="24"/>
        </w:rPr>
        <w:t xml:space="preserve">          </w:t>
      </w:r>
    </w:p>
    <w:tbl>
      <w:tblPr>
        <w:tblW w:w="9327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78"/>
        <w:gridCol w:w="1683"/>
        <w:gridCol w:w="1683"/>
        <w:gridCol w:w="1683"/>
      </w:tblGrid>
      <w:tr w:rsidR="00D22F3D" w:rsidRPr="00D22F3D" w:rsidTr="00EB6F5A">
        <w:trPr>
          <w:trHeight w:val="498"/>
        </w:trPr>
        <w:tc>
          <w:tcPr>
            <w:tcW w:w="4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D22F3D" w:rsidRPr="00D22F3D" w:rsidRDefault="00D22F3D" w:rsidP="00EB6F5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2F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Secretarias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D22F3D" w:rsidRPr="00D22F3D" w:rsidRDefault="00D22F3D" w:rsidP="00EB6F5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2F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Empenhado 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D22F3D" w:rsidRPr="00D22F3D" w:rsidRDefault="00D22F3D" w:rsidP="00EB6F5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2F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Liquidado 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D22F3D" w:rsidRPr="00D22F3D" w:rsidRDefault="00D22F3D" w:rsidP="00EB6F5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2F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Pago </w:t>
            </w:r>
          </w:p>
        </w:tc>
      </w:tr>
      <w:tr w:rsidR="00D22F3D" w:rsidRPr="00D22F3D" w:rsidTr="00EB6F5A">
        <w:trPr>
          <w:trHeight w:val="420"/>
        </w:trPr>
        <w:tc>
          <w:tcPr>
            <w:tcW w:w="4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D22F3D" w:rsidRPr="00D22F3D" w:rsidRDefault="00D22F3D" w:rsidP="00EB6F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2F3D">
              <w:rPr>
                <w:rFonts w:ascii="Times New Roman" w:hAnsi="Times New Roman" w:cs="Times New Roman"/>
                <w:sz w:val="24"/>
                <w:szCs w:val="24"/>
              </w:rPr>
              <w:t>CÂMARA DE VEREADORES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D22F3D" w:rsidRPr="00D22F3D" w:rsidRDefault="00D22F3D" w:rsidP="00EB6F5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22F3D">
              <w:rPr>
                <w:rFonts w:ascii="Times New Roman" w:hAnsi="Times New Roman" w:cs="Times New Roman"/>
                <w:sz w:val="24"/>
                <w:szCs w:val="24"/>
              </w:rPr>
              <w:t>426.270,11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D22F3D" w:rsidRPr="00D22F3D" w:rsidRDefault="00D22F3D" w:rsidP="00EB6F5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22F3D">
              <w:rPr>
                <w:rFonts w:ascii="Times New Roman" w:hAnsi="Times New Roman" w:cs="Times New Roman"/>
                <w:sz w:val="24"/>
                <w:szCs w:val="24"/>
              </w:rPr>
              <w:t>389.578,17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D22F3D" w:rsidRPr="00D22F3D" w:rsidRDefault="00D22F3D" w:rsidP="00EB6F5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22F3D">
              <w:rPr>
                <w:rFonts w:ascii="Times New Roman" w:hAnsi="Times New Roman" w:cs="Times New Roman"/>
                <w:sz w:val="24"/>
                <w:szCs w:val="24"/>
              </w:rPr>
              <w:t>387.260,69</w:t>
            </w:r>
          </w:p>
        </w:tc>
      </w:tr>
      <w:tr w:rsidR="00D22F3D" w:rsidRPr="00D22F3D" w:rsidTr="00EB6F5A">
        <w:trPr>
          <w:trHeight w:val="420"/>
        </w:trPr>
        <w:tc>
          <w:tcPr>
            <w:tcW w:w="4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D22F3D" w:rsidRPr="00D22F3D" w:rsidRDefault="00D22F3D" w:rsidP="00EB6F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2F3D">
              <w:rPr>
                <w:rFonts w:ascii="Times New Roman" w:hAnsi="Times New Roman" w:cs="Times New Roman"/>
                <w:sz w:val="24"/>
                <w:szCs w:val="24"/>
              </w:rPr>
              <w:t>GABINETE DO PREFEITO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D22F3D" w:rsidRPr="00D22F3D" w:rsidRDefault="00D22F3D" w:rsidP="00EB6F5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22F3D">
              <w:rPr>
                <w:rFonts w:ascii="Times New Roman" w:hAnsi="Times New Roman" w:cs="Times New Roman"/>
                <w:sz w:val="24"/>
                <w:szCs w:val="24"/>
              </w:rPr>
              <w:t>792.211,01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D22F3D" w:rsidRPr="00D22F3D" w:rsidRDefault="00D22F3D" w:rsidP="00EB6F5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22F3D">
              <w:rPr>
                <w:rFonts w:ascii="Times New Roman" w:hAnsi="Times New Roman" w:cs="Times New Roman"/>
                <w:sz w:val="24"/>
                <w:szCs w:val="24"/>
              </w:rPr>
              <w:t>673.263,48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D22F3D" w:rsidRPr="00D22F3D" w:rsidRDefault="00D22F3D" w:rsidP="00EB6F5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22F3D">
              <w:rPr>
                <w:rFonts w:ascii="Times New Roman" w:hAnsi="Times New Roman" w:cs="Times New Roman"/>
                <w:sz w:val="24"/>
                <w:szCs w:val="24"/>
              </w:rPr>
              <w:t>658.480,31</w:t>
            </w:r>
          </w:p>
        </w:tc>
      </w:tr>
      <w:tr w:rsidR="00D22F3D" w:rsidRPr="00D22F3D" w:rsidTr="00EB6F5A">
        <w:trPr>
          <w:trHeight w:val="420"/>
        </w:trPr>
        <w:tc>
          <w:tcPr>
            <w:tcW w:w="4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D22F3D" w:rsidRPr="00D22F3D" w:rsidRDefault="00D22F3D" w:rsidP="00EB6F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2F3D">
              <w:rPr>
                <w:rFonts w:ascii="Times New Roman" w:hAnsi="Times New Roman" w:cs="Times New Roman"/>
                <w:sz w:val="24"/>
                <w:szCs w:val="24"/>
              </w:rPr>
              <w:t>ADMINISTRAÇÃO, FAZENDA E PLANEJAMENTO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D22F3D" w:rsidRPr="00D22F3D" w:rsidRDefault="00D22F3D" w:rsidP="00EB6F5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22F3D">
              <w:rPr>
                <w:rFonts w:ascii="Times New Roman" w:hAnsi="Times New Roman" w:cs="Times New Roman"/>
                <w:sz w:val="24"/>
                <w:szCs w:val="24"/>
              </w:rPr>
              <w:t>2.873.050,59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D22F3D" w:rsidRPr="00D22F3D" w:rsidRDefault="00D22F3D" w:rsidP="00EB6F5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22F3D">
              <w:rPr>
                <w:rFonts w:ascii="Times New Roman" w:hAnsi="Times New Roman" w:cs="Times New Roman"/>
                <w:sz w:val="24"/>
                <w:szCs w:val="24"/>
              </w:rPr>
              <w:t>2.177.410,53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D22F3D" w:rsidRPr="00D22F3D" w:rsidRDefault="00D22F3D" w:rsidP="00EB6F5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22F3D">
              <w:rPr>
                <w:rFonts w:ascii="Times New Roman" w:hAnsi="Times New Roman" w:cs="Times New Roman"/>
                <w:sz w:val="24"/>
                <w:szCs w:val="24"/>
              </w:rPr>
              <w:t>2.114.450,18</w:t>
            </w:r>
          </w:p>
        </w:tc>
      </w:tr>
      <w:tr w:rsidR="00D22F3D" w:rsidRPr="00D22F3D" w:rsidTr="00EB6F5A">
        <w:trPr>
          <w:trHeight w:val="420"/>
        </w:trPr>
        <w:tc>
          <w:tcPr>
            <w:tcW w:w="4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D22F3D" w:rsidRPr="00D22F3D" w:rsidRDefault="00D22F3D" w:rsidP="00EB6F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2F3D">
              <w:rPr>
                <w:rFonts w:ascii="Times New Roman" w:hAnsi="Times New Roman" w:cs="Times New Roman"/>
                <w:sz w:val="24"/>
                <w:szCs w:val="24"/>
              </w:rPr>
              <w:t>OBRAS, AGRICULTURA E MEIO AMBIENTE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D22F3D" w:rsidRPr="00D22F3D" w:rsidRDefault="00D22F3D" w:rsidP="00EB6F5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22F3D">
              <w:rPr>
                <w:rFonts w:ascii="Times New Roman" w:hAnsi="Times New Roman" w:cs="Times New Roman"/>
                <w:sz w:val="24"/>
                <w:szCs w:val="24"/>
              </w:rPr>
              <w:t>10.252.706,58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D22F3D" w:rsidRPr="00D22F3D" w:rsidRDefault="00D22F3D" w:rsidP="00EB6F5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22F3D">
              <w:rPr>
                <w:rFonts w:ascii="Times New Roman" w:hAnsi="Times New Roman" w:cs="Times New Roman"/>
                <w:sz w:val="24"/>
                <w:szCs w:val="24"/>
              </w:rPr>
              <w:t>6.670.537,97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D22F3D" w:rsidRPr="00D22F3D" w:rsidRDefault="00D22F3D" w:rsidP="00EB6F5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22F3D">
              <w:rPr>
                <w:rFonts w:ascii="Times New Roman" w:hAnsi="Times New Roman" w:cs="Times New Roman"/>
                <w:sz w:val="24"/>
                <w:szCs w:val="24"/>
              </w:rPr>
              <w:t>6.496.956,96</w:t>
            </w:r>
          </w:p>
        </w:tc>
      </w:tr>
      <w:tr w:rsidR="00D22F3D" w:rsidRPr="00D22F3D" w:rsidTr="00EB6F5A">
        <w:trPr>
          <w:trHeight w:val="420"/>
        </w:trPr>
        <w:tc>
          <w:tcPr>
            <w:tcW w:w="4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D22F3D" w:rsidRPr="00D22F3D" w:rsidRDefault="00D22F3D" w:rsidP="00EB6F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2F3D">
              <w:rPr>
                <w:rFonts w:ascii="Times New Roman" w:hAnsi="Times New Roman" w:cs="Times New Roman"/>
                <w:sz w:val="24"/>
                <w:szCs w:val="24"/>
              </w:rPr>
              <w:t>EDUCAÇÃO, CULTURA, DESPORTO E TURISMO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D22F3D" w:rsidRPr="00D22F3D" w:rsidRDefault="00D22F3D" w:rsidP="00EB6F5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22F3D">
              <w:rPr>
                <w:rFonts w:ascii="Times New Roman" w:hAnsi="Times New Roman" w:cs="Times New Roman"/>
                <w:sz w:val="24"/>
                <w:szCs w:val="24"/>
              </w:rPr>
              <w:t>4.162.326,31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D22F3D" w:rsidRPr="00D22F3D" w:rsidRDefault="00D22F3D" w:rsidP="00EB6F5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22F3D">
              <w:rPr>
                <w:rFonts w:ascii="Times New Roman" w:hAnsi="Times New Roman" w:cs="Times New Roman"/>
                <w:sz w:val="24"/>
                <w:szCs w:val="24"/>
              </w:rPr>
              <w:t>3.377.508,41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D22F3D" w:rsidRPr="00D22F3D" w:rsidRDefault="00D22F3D" w:rsidP="00EB6F5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22F3D">
              <w:rPr>
                <w:rFonts w:ascii="Times New Roman" w:hAnsi="Times New Roman" w:cs="Times New Roman"/>
                <w:sz w:val="24"/>
                <w:szCs w:val="24"/>
              </w:rPr>
              <w:t>3.331.586,70</w:t>
            </w:r>
          </w:p>
        </w:tc>
      </w:tr>
      <w:tr w:rsidR="00D22F3D" w:rsidRPr="00D22F3D" w:rsidTr="00EB6F5A">
        <w:trPr>
          <w:trHeight w:val="420"/>
        </w:trPr>
        <w:tc>
          <w:tcPr>
            <w:tcW w:w="4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:rsidR="00D22F3D" w:rsidRPr="00D22F3D" w:rsidRDefault="00D22F3D" w:rsidP="00EB6F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2F3D">
              <w:rPr>
                <w:rFonts w:ascii="Times New Roman" w:hAnsi="Times New Roman" w:cs="Times New Roman"/>
                <w:sz w:val="24"/>
                <w:szCs w:val="24"/>
              </w:rPr>
              <w:t>SAÚDE E ASSISTÊNCIA SOCIAL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:rsidR="00D22F3D" w:rsidRPr="00D22F3D" w:rsidRDefault="00D22F3D" w:rsidP="00EB6F5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22F3D">
              <w:rPr>
                <w:rFonts w:ascii="Times New Roman" w:hAnsi="Times New Roman" w:cs="Times New Roman"/>
                <w:sz w:val="24"/>
                <w:szCs w:val="24"/>
              </w:rPr>
              <w:t>6.414.308,24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:rsidR="00D22F3D" w:rsidRPr="00D22F3D" w:rsidRDefault="00D22F3D" w:rsidP="00EB6F5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22F3D">
              <w:rPr>
                <w:rFonts w:ascii="Times New Roman" w:hAnsi="Times New Roman" w:cs="Times New Roman"/>
                <w:sz w:val="24"/>
                <w:szCs w:val="24"/>
              </w:rPr>
              <w:t>4.969.849,61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:rsidR="00D22F3D" w:rsidRPr="00D22F3D" w:rsidRDefault="00D22F3D" w:rsidP="00EB6F5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22F3D">
              <w:rPr>
                <w:rFonts w:ascii="Times New Roman" w:hAnsi="Times New Roman" w:cs="Times New Roman"/>
                <w:sz w:val="24"/>
                <w:szCs w:val="24"/>
              </w:rPr>
              <w:t>4.844.170,64</w:t>
            </w:r>
          </w:p>
        </w:tc>
      </w:tr>
      <w:tr w:rsidR="00D22F3D" w:rsidRPr="00D22F3D" w:rsidTr="00EB6F5A">
        <w:trPr>
          <w:trHeight w:val="420"/>
        </w:trPr>
        <w:tc>
          <w:tcPr>
            <w:tcW w:w="4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:rsidR="00D22F3D" w:rsidRPr="00D22F3D" w:rsidRDefault="00D22F3D" w:rsidP="00EB6F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2F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ENCARGOS GERAIS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:rsidR="00D22F3D" w:rsidRPr="00D22F3D" w:rsidRDefault="00D22F3D" w:rsidP="00EB6F5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22F3D">
              <w:rPr>
                <w:rFonts w:ascii="Times New Roman" w:hAnsi="Times New Roman" w:cs="Times New Roman"/>
                <w:sz w:val="24"/>
                <w:szCs w:val="24"/>
              </w:rPr>
              <w:t>644.114,48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:rsidR="00D22F3D" w:rsidRPr="00D22F3D" w:rsidRDefault="00D22F3D" w:rsidP="00EB6F5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22F3D">
              <w:rPr>
                <w:rFonts w:ascii="Times New Roman" w:hAnsi="Times New Roman" w:cs="Times New Roman"/>
                <w:sz w:val="24"/>
                <w:szCs w:val="24"/>
              </w:rPr>
              <w:t>644.114,48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:rsidR="00D22F3D" w:rsidRPr="00D22F3D" w:rsidRDefault="00D22F3D" w:rsidP="00EB6F5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22F3D">
              <w:rPr>
                <w:rFonts w:ascii="Times New Roman" w:hAnsi="Times New Roman" w:cs="Times New Roman"/>
                <w:sz w:val="24"/>
                <w:szCs w:val="24"/>
              </w:rPr>
              <w:t>644.114,48</w:t>
            </w:r>
          </w:p>
        </w:tc>
      </w:tr>
      <w:tr w:rsidR="00D22F3D" w:rsidRPr="00D22F3D" w:rsidTr="00EB6F5A">
        <w:trPr>
          <w:trHeight w:val="420"/>
        </w:trPr>
        <w:tc>
          <w:tcPr>
            <w:tcW w:w="4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D22F3D" w:rsidRPr="00D22F3D" w:rsidRDefault="00D22F3D" w:rsidP="00EB6F5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2F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D22F3D" w:rsidRPr="00D22F3D" w:rsidRDefault="00D22F3D" w:rsidP="00EB6F5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2F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25.564.987,32 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D22F3D" w:rsidRPr="00D22F3D" w:rsidRDefault="00D22F3D" w:rsidP="00EB6F5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2F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18.902.262,65 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D22F3D" w:rsidRPr="00D22F3D" w:rsidRDefault="00D22F3D" w:rsidP="00EB6F5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2F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18.477.019,96 </w:t>
            </w:r>
          </w:p>
        </w:tc>
      </w:tr>
    </w:tbl>
    <w:p w:rsidR="00D22F3D" w:rsidRPr="00D22F3D" w:rsidRDefault="00D22F3D" w:rsidP="00D22F3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22F3D" w:rsidRPr="00D22F3D" w:rsidRDefault="00D22F3D" w:rsidP="00D22F3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22F3D">
        <w:rPr>
          <w:rFonts w:ascii="Times New Roman" w:hAnsi="Times New Roman" w:cs="Times New Roman"/>
          <w:b/>
          <w:sz w:val="24"/>
          <w:szCs w:val="24"/>
        </w:rPr>
        <w:tab/>
        <w:t>2.2 – Análise da Despesa através de Gráficos</w:t>
      </w:r>
    </w:p>
    <w:p w:rsidR="00D22F3D" w:rsidRPr="00D22F3D" w:rsidRDefault="00D22F3D" w:rsidP="00D22F3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22F3D" w:rsidRPr="00D22F3D" w:rsidRDefault="00D22F3D" w:rsidP="00D22F3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22F3D">
        <w:rPr>
          <w:rFonts w:ascii="Times New Roman" w:hAnsi="Times New Roman" w:cs="Times New Roman"/>
          <w:b/>
          <w:sz w:val="24"/>
          <w:szCs w:val="24"/>
        </w:rPr>
        <w:tab/>
        <w:t>2.2.1 – Gráficos das Despesas Liquidadas até 08/2026</w:t>
      </w:r>
    </w:p>
    <w:p w:rsidR="00D22F3D" w:rsidRPr="00D22F3D" w:rsidRDefault="00D22F3D" w:rsidP="00D22F3D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22F3D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5943600" cy="3686175"/>
            <wp:effectExtent l="0" t="0" r="0" b="0"/>
            <wp:docPr id="3" name="Gráfico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D22F3D" w:rsidRPr="00D22F3D" w:rsidRDefault="00D22F3D" w:rsidP="00D22F3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22F3D">
        <w:rPr>
          <w:rFonts w:ascii="Times New Roman" w:hAnsi="Times New Roman" w:cs="Times New Roman"/>
          <w:noProof/>
          <w:sz w:val="24"/>
          <w:szCs w:val="24"/>
          <w:lang w:eastAsia="pt-BR"/>
        </w:rPr>
        <w:lastRenderedPageBreak/>
        <w:drawing>
          <wp:inline distT="0" distB="0" distL="0" distR="0">
            <wp:extent cx="5943600" cy="3695700"/>
            <wp:effectExtent l="0" t="0" r="0" b="0"/>
            <wp:docPr id="2" name="Gráfico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D22F3D" w:rsidRPr="00D22F3D" w:rsidRDefault="00D22F3D" w:rsidP="00D22F3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22F3D" w:rsidRPr="00D22F3D" w:rsidRDefault="00D22F3D" w:rsidP="00D22F3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22F3D" w:rsidRPr="00D22F3D" w:rsidRDefault="00D22F3D" w:rsidP="00D22F3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22F3D" w:rsidRPr="00D22F3D" w:rsidRDefault="00D22F3D" w:rsidP="00D22F3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22F3D" w:rsidRPr="00D22F3D" w:rsidRDefault="00D22F3D" w:rsidP="00D22F3D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2F3D">
        <w:rPr>
          <w:rFonts w:ascii="Times New Roman" w:hAnsi="Times New Roman" w:cs="Times New Roman"/>
          <w:b/>
          <w:sz w:val="24"/>
          <w:szCs w:val="24"/>
        </w:rPr>
        <w:t>2.2.2 – Despesas Previstas para 2027</w:t>
      </w:r>
    </w:p>
    <w:p w:rsidR="00D22F3D" w:rsidRPr="00D22F3D" w:rsidRDefault="00D22F3D" w:rsidP="00D22F3D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8901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70"/>
        <w:gridCol w:w="5618"/>
        <w:gridCol w:w="2413"/>
      </w:tblGrid>
      <w:tr w:rsidR="00D22F3D" w:rsidRPr="00D22F3D" w:rsidTr="00EB6F5A">
        <w:trPr>
          <w:trHeight w:val="409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D22F3D" w:rsidRPr="00D22F3D" w:rsidRDefault="00D22F3D" w:rsidP="00EB6F5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2F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COD.</w:t>
            </w:r>
          </w:p>
        </w:tc>
        <w:tc>
          <w:tcPr>
            <w:tcW w:w="5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D22F3D" w:rsidRPr="00D22F3D" w:rsidRDefault="00D22F3D" w:rsidP="00EB6F5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2F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SECRETARIA</w:t>
            </w:r>
          </w:p>
        </w:tc>
        <w:tc>
          <w:tcPr>
            <w:tcW w:w="2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D22F3D" w:rsidRPr="00D22F3D" w:rsidRDefault="00D22F3D" w:rsidP="00EB6F5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2F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VALOR TOTAL LDO</w:t>
            </w:r>
          </w:p>
        </w:tc>
      </w:tr>
      <w:tr w:rsidR="00D22F3D" w:rsidRPr="00D22F3D" w:rsidTr="00EB6F5A">
        <w:trPr>
          <w:trHeight w:val="409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D22F3D" w:rsidRPr="00D22F3D" w:rsidRDefault="00D22F3D" w:rsidP="00EB6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F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D22F3D" w:rsidRPr="00D22F3D" w:rsidRDefault="00D22F3D" w:rsidP="00EB6F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2F3D">
              <w:rPr>
                <w:rFonts w:ascii="Times New Roman" w:hAnsi="Times New Roman" w:cs="Times New Roman"/>
                <w:sz w:val="24"/>
                <w:szCs w:val="24"/>
              </w:rPr>
              <w:t>CÂMARA DE VEREADORES</w:t>
            </w:r>
          </w:p>
        </w:tc>
        <w:tc>
          <w:tcPr>
            <w:tcW w:w="2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D22F3D" w:rsidRPr="00D22F3D" w:rsidRDefault="00D22F3D" w:rsidP="00EB6F5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22F3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900.000,00 </w:t>
            </w:r>
          </w:p>
        </w:tc>
      </w:tr>
      <w:tr w:rsidR="00D22F3D" w:rsidRPr="00D22F3D" w:rsidTr="00EB6F5A">
        <w:trPr>
          <w:trHeight w:val="392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D22F3D" w:rsidRPr="00D22F3D" w:rsidRDefault="00D22F3D" w:rsidP="00EB6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F3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D22F3D" w:rsidRPr="00D22F3D" w:rsidRDefault="00D22F3D" w:rsidP="00EB6F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2F3D">
              <w:rPr>
                <w:rFonts w:ascii="Times New Roman" w:hAnsi="Times New Roman" w:cs="Times New Roman"/>
                <w:sz w:val="24"/>
                <w:szCs w:val="24"/>
              </w:rPr>
              <w:t>GABINETE DO PREFEITO</w:t>
            </w:r>
          </w:p>
        </w:tc>
        <w:tc>
          <w:tcPr>
            <w:tcW w:w="2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D22F3D" w:rsidRPr="00D22F3D" w:rsidRDefault="00D22F3D" w:rsidP="00EB6F5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22F3D">
              <w:rPr>
                <w:rFonts w:ascii="Times New Roman" w:hAnsi="Times New Roman" w:cs="Times New Roman"/>
                <w:sz w:val="24"/>
                <w:szCs w:val="24"/>
              </w:rPr>
              <w:t xml:space="preserve">              1.250.000,00 </w:t>
            </w:r>
          </w:p>
        </w:tc>
      </w:tr>
      <w:tr w:rsidR="00D22F3D" w:rsidRPr="00D22F3D" w:rsidTr="00EB6F5A">
        <w:trPr>
          <w:trHeight w:val="392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D22F3D" w:rsidRPr="00D22F3D" w:rsidRDefault="00D22F3D" w:rsidP="00EB6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F3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D22F3D" w:rsidRPr="00D22F3D" w:rsidRDefault="00D22F3D" w:rsidP="00EB6F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2F3D">
              <w:rPr>
                <w:rFonts w:ascii="Times New Roman" w:hAnsi="Times New Roman" w:cs="Times New Roman"/>
                <w:sz w:val="24"/>
                <w:szCs w:val="24"/>
              </w:rPr>
              <w:t>ADMINISTRAÇÃO, FAZENDA E PLANEJAMENTO</w:t>
            </w:r>
          </w:p>
        </w:tc>
        <w:tc>
          <w:tcPr>
            <w:tcW w:w="2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D22F3D" w:rsidRPr="00D22F3D" w:rsidRDefault="00D22F3D" w:rsidP="00EB6F5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22F3D">
              <w:rPr>
                <w:rFonts w:ascii="Times New Roman" w:hAnsi="Times New Roman" w:cs="Times New Roman"/>
                <w:sz w:val="24"/>
                <w:szCs w:val="24"/>
              </w:rPr>
              <w:t xml:space="preserve">              4.724.000,00 </w:t>
            </w:r>
          </w:p>
        </w:tc>
      </w:tr>
      <w:tr w:rsidR="00D22F3D" w:rsidRPr="00D22F3D" w:rsidTr="00EB6F5A">
        <w:trPr>
          <w:trHeight w:val="392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D22F3D" w:rsidRPr="00D22F3D" w:rsidRDefault="00D22F3D" w:rsidP="00EB6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F3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D22F3D" w:rsidRPr="00D22F3D" w:rsidRDefault="00D22F3D" w:rsidP="00EB6F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2F3D">
              <w:rPr>
                <w:rFonts w:ascii="Times New Roman" w:hAnsi="Times New Roman" w:cs="Times New Roman"/>
                <w:sz w:val="24"/>
                <w:szCs w:val="24"/>
              </w:rPr>
              <w:t>OBRAS, AGRICULTURA E MEIO AMBIENTE</w:t>
            </w:r>
          </w:p>
        </w:tc>
        <w:tc>
          <w:tcPr>
            <w:tcW w:w="2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D22F3D" w:rsidRPr="00D22F3D" w:rsidRDefault="00D22F3D" w:rsidP="00EB6F5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22F3D">
              <w:rPr>
                <w:rFonts w:ascii="Times New Roman" w:hAnsi="Times New Roman" w:cs="Times New Roman"/>
                <w:sz w:val="24"/>
                <w:szCs w:val="24"/>
              </w:rPr>
              <w:t xml:space="preserve">            11.784.000,00 </w:t>
            </w:r>
          </w:p>
        </w:tc>
      </w:tr>
      <w:tr w:rsidR="00D22F3D" w:rsidRPr="00D22F3D" w:rsidTr="00EB6F5A">
        <w:trPr>
          <w:trHeight w:val="392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D22F3D" w:rsidRPr="00D22F3D" w:rsidRDefault="00D22F3D" w:rsidP="00EB6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F3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D22F3D" w:rsidRPr="00D22F3D" w:rsidRDefault="00D22F3D" w:rsidP="00EB6F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2F3D">
              <w:rPr>
                <w:rFonts w:ascii="Times New Roman" w:hAnsi="Times New Roman" w:cs="Times New Roman"/>
                <w:sz w:val="24"/>
                <w:szCs w:val="24"/>
              </w:rPr>
              <w:t>EDUCAÇÃO, CULTURA, DESPORTO E TURISMO</w:t>
            </w:r>
          </w:p>
        </w:tc>
        <w:tc>
          <w:tcPr>
            <w:tcW w:w="2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D22F3D" w:rsidRPr="00D22F3D" w:rsidRDefault="00D22F3D" w:rsidP="00EB6F5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22F3D">
              <w:rPr>
                <w:rFonts w:ascii="Times New Roman" w:hAnsi="Times New Roman" w:cs="Times New Roman"/>
                <w:sz w:val="24"/>
                <w:szCs w:val="24"/>
              </w:rPr>
              <w:t xml:space="preserve">              7.746.000,00 </w:t>
            </w:r>
          </w:p>
        </w:tc>
      </w:tr>
      <w:tr w:rsidR="00D22F3D" w:rsidRPr="00D22F3D" w:rsidTr="00EB6F5A">
        <w:trPr>
          <w:trHeight w:val="392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:rsidR="00D22F3D" w:rsidRPr="00D22F3D" w:rsidRDefault="00D22F3D" w:rsidP="00EB6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F3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:rsidR="00D22F3D" w:rsidRPr="00D22F3D" w:rsidRDefault="00D22F3D" w:rsidP="00EB6F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2F3D">
              <w:rPr>
                <w:rFonts w:ascii="Times New Roman" w:hAnsi="Times New Roman" w:cs="Times New Roman"/>
                <w:sz w:val="24"/>
                <w:szCs w:val="24"/>
              </w:rPr>
              <w:t>SAÚDE E ASSISTÊNCIA SOCIAL</w:t>
            </w:r>
          </w:p>
        </w:tc>
        <w:tc>
          <w:tcPr>
            <w:tcW w:w="2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:rsidR="00D22F3D" w:rsidRPr="00D22F3D" w:rsidRDefault="00D22F3D" w:rsidP="00EB6F5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22F3D">
              <w:rPr>
                <w:rFonts w:ascii="Times New Roman" w:hAnsi="Times New Roman" w:cs="Times New Roman"/>
                <w:sz w:val="24"/>
                <w:szCs w:val="24"/>
              </w:rPr>
              <w:t xml:space="preserve">              9.839.000,00 </w:t>
            </w:r>
          </w:p>
        </w:tc>
      </w:tr>
      <w:tr w:rsidR="00D22F3D" w:rsidRPr="00D22F3D" w:rsidTr="00EB6F5A">
        <w:trPr>
          <w:trHeight w:val="392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:rsidR="00D22F3D" w:rsidRPr="00D22F3D" w:rsidRDefault="00D22F3D" w:rsidP="00EB6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F3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:rsidR="00D22F3D" w:rsidRPr="00D22F3D" w:rsidRDefault="00D22F3D" w:rsidP="00EB6F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2F3D">
              <w:rPr>
                <w:rFonts w:ascii="Times New Roman" w:hAnsi="Times New Roman" w:cs="Times New Roman"/>
                <w:sz w:val="24"/>
                <w:szCs w:val="24"/>
              </w:rPr>
              <w:t>ENCARGOS GERAIS</w:t>
            </w:r>
          </w:p>
        </w:tc>
        <w:tc>
          <w:tcPr>
            <w:tcW w:w="2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:rsidR="00D22F3D" w:rsidRPr="00D22F3D" w:rsidRDefault="00D22F3D" w:rsidP="00EB6F5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22F3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257.000,00 </w:t>
            </w:r>
          </w:p>
        </w:tc>
      </w:tr>
      <w:tr w:rsidR="00D22F3D" w:rsidRPr="00D22F3D" w:rsidTr="00EB6F5A">
        <w:trPr>
          <w:trHeight w:val="418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:rsidR="00D22F3D" w:rsidRPr="00D22F3D" w:rsidRDefault="00D22F3D" w:rsidP="00EB6F5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2F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:rsidR="00D22F3D" w:rsidRPr="00D22F3D" w:rsidRDefault="00D22F3D" w:rsidP="00EB6F5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2F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2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:rsidR="00D22F3D" w:rsidRPr="00D22F3D" w:rsidRDefault="00D22F3D" w:rsidP="00EB6F5A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2F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36.500.000,00 </w:t>
            </w:r>
          </w:p>
        </w:tc>
      </w:tr>
    </w:tbl>
    <w:p w:rsidR="00D22F3D" w:rsidRPr="00D22F3D" w:rsidRDefault="00D22F3D" w:rsidP="00D22F3D">
      <w:pPr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D22F3D" w:rsidRPr="00D22F3D" w:rsidRDefault="00D22F3D" w:rsidP="00D22F3D">
      <w:pPr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D22F3D" w:rsidRPr="00D22F3D" w:rsidRDefault="00D22F3D" w:rsidP="00D22F3D">
      <w:pPr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D22F3D" w:rsidRPr="00D22F3D" w:rsidRDefault="00D22F3D" w:rsidP="00D22F3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22F3D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5657850" cy="3552825"/>
            <wp:effectExtent l="0" t="0" r="0" b="0"/>
            <wp:docPr id="1" name="Gráfico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D22F3D" w:rsidRPr="00D22F3D" w:rsidRDefault="00D22F3D" w:rsidP="00D22F3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22F3D" w:rsidRPr="00D22F3D" w:rsidRDefault="00D22F3D" w:rsidP="00D22F3D">
      <w:pPr>
        <w:numPr>
          <w:ilvl w:val="0"/>
          <w:numId w:val="6"/>
        </w:numPr>
        <w:spacing w:after="0" w:line="360" w:lineRule="auto"/>
        <w:ind w:left="0" w:firstLine="177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2F3D">
        <w:rPr>
          <w:rFonts w:ascii="Times New Roman" w:hAnsi="Times New Roman" w:cs="Times New Roman"/>
          <w:b/>
          <w:sz w:val="24"/>
          <w:szCs w:val="24"/>
        </w:rPr>
        <w:t>– Conclusões</w:t>
      </w:r>
    </w:p>
    <w:p w:rsidR="00D22F3D" w:rsidRPr="00D22F3D" w:rsidRDefault="00D22F3D" w:rsidP="00D22F3D">
      <w:pPr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D22F3D" w:rsidRPr="00D22F3D" w:rsidRDefault="00D22F3D" w:rsidP="00D22F3D">
      <w:pPr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22F3D">
        <w:rPr>
          <w:rFonts w:ascii="Times New Roman" w:hAnsi="Times New Roman" w:cs="Times New Roman"/>
          <w:sz w:val="24"/>
          <w:szCs w:val="24"/>
        </w:rPr>
        <w:t>A Lei de Diretrizes Orçamentárias – LDO tem como principal finalidade orientar a elaboração da Lei Orçamentária Anual – LOA, incluindo os Poderes Executivo e Legislativo.</w:t>
      </w:r>
    </w:p>
    <w:p w:rsidR="00D22F3D" w:rsidRPr="00D22F3D" w:rsidRDefault="00D22F3D" w:rsidP="00D22F3D">
      <w:pPr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22F3D">
        <w:rPr>
          <w:rFonts w:ascii="Times New Roman" w:hAnsi="Times New Roman" w:cs="Times New Roman"/>
          <w:sz w:val="24"/>
          <w:szCs w:val="24"/>
        </w:rPr>
        <w:t xml:space="preserve"> Na Lei de Diretrizes Orçamentárias - LDO são estabelecidas, em cumprimento ao disposto no art. 165, § 2</w:t>
      </w:r>
      <w:r w:rsidRPr="00D22F3D">
        <w:rPr>
          <w:rFonts w:ascii="Times New Roman" w:hAnsi="Times New Roman" w:cs="Times New Roman"/>
          <w:sz w:val="24"/>
          <w:szCs w:val="24"/>
          <w:u w:val="words"/>
          <w:vertAlign w:val="superscript"/>
        </w:rPr>
        <w:t>o</w:t>
      </w:r>
      <w:r w:rsidRPr="00D22F3D">
        <w:rPr>
          <w:rFonts w:ascii="Times New Roman" w:hAnsi="Times New Roman" w:cs="Times New Roman"/>
          <w:sz w:val="24"/>
          <w:szCs w:val="24"/>
        </w:rPr>
        <w:t>, da Constituição Federal, as diretrizes orçamentárias do Município, compreendendo:</w:t>
      </w:r>
    </w:p>
    <w:p w:rsidR="00D22F3D" w:rsidRPr="00D22F3D" w:rsidRDefault="00D22F3D" w:rsidP="00D22F3D">
      <w:pPr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22F3D">
        <w:rPr>
          <w:rFonts w:ascii="Times New Roman" w:hAnsi="Times New Roman" w:cs="Times New Roman"/>
          <w:sz w:val="24"/>
          <w:szCs w:val="24"/>
        </w:rPr>
        <w:t xml:space="preserve">I – </w:t>
      </w:r>
      <w:proofErr w:type="gramStart"/>
      <w:r w:rsidRPr="00D22F3D">
        <w:rPr>
          <w:rFonts w:ascii="Times New Roman" w:hAnsi="Times New Roman" w:cs="Times New Roman"/>
          <w:sz w:val="24"/>
          <w:szCs w:val="24"/>
        </w:rPr>
        <w:t>objetivos, ações e metas</w:t>
      </w:r>
      <w:proofErr w:type="gramEnd"/>
      <w:r w:rsidRPr="00D22F3D">
        <w:rPr>
          <w:rFonts w:ascii="Times New Roman" w:hAnsi="Times New Roman" w:cs="Times New Roman"/>
          <w:sz w:val="24"/>
          <w:szCs w:val="24"/>
        </w:rPr>
        <w:t xml:space="preserve"> da Administração para o exercício proposto, em conformidade com o plano plurianual; </w:t>
      </w:r>
    </w:p>
    <w:p w:rsidR="00D22F3D" w:rsidRPr="00D22F3D" w:rsidRDefault="00D22F3D" w:rsidP="00D22F3D">
      <w:pPr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22F3D">
        <w:rPr>
          <w:rFonts w:ascii="Times New Roman" w:hAnsi="Times New Roman" w:cs="Times New Roman"/>
          <w:sz w:val="24"/>
          <w:szCs w:val="24"/>
        </w:rPr>
        <w:t xml:space="preserve">II - a estrutura, organização e diretrizes para a execução e alterações do orçamento do Município; </w:t>
      </w:r>
    </w:p>
    <w:p w:rsidR="00D22F3D" w:rsidRPr="00D22F3D" w:rsidRDefault="00D22F3D" w:rsidP="00D22F3D">
      <w:pPr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22F3D">
        <w:rPr>
          <w:rFonts w:ascii="Times New Roman" w:hAnsi="Times New Roman" w:cs="Times New Roman"/>
          <w:sz w:val="24"/>
          <w:szCs w:val="24"/>
        </w:rPr>
        <w:t>III - as disposições relativas às despesas com pessoal;</w:t>
      </w:r>
    </w:p>
    <w:p w:rsidR="00D22F3D" w:rsidRPr="00D22F3D" w:rsidRDefault="00D22F3D" w:rsidP="00D22F3D">
      <w:pPr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22F3D">
        <w:rPr>
          <w:rFonts w:ascii="Times New Roman" w:hAnsi="Times New Roman" w:cs="Times New Roman"/>
          <w:sz w:val="24"/>
          <w:szCs w:val="24"/>
        </w:rPr>
        <w:lastRenderedPageBreak/>
        <w:t>IV - as disposições sobre as alterações na legislação tributária.</w:t>
      </w:r>
    </w:p>
    <w:p w:rsidR="00D22F3D" w:rsidRPr="00D22F3D" w:rsidRDefault="00D22F3D" w:rsidP="00D22F3D">
      <w:pPr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22F3D">
        <w:rPr>
          <w:rFonts w:ascii="Times New Roman" w:hAnsi="Times New Roman" w:cs="Times New Roman"/>
          <w:sz w:val="24"/>
          <w:szCs w:val="24"/>
        </w:rPr>
        <w:t>A LDO busca através do texto de sua lei e de seus anexos, apresentar as metas a serem realizadas no exercício seguinte, apresentadas com valores monetários que possuem caráter indicativo e não normativo, utilizados para o planejamento, mas que poderão ser revisados no momento da elaboração do Orçamento Anual.</w:t>
      </w:r>
      <w:bookmarkEnd w:id="1"/>
    </w:p>
    <w:p w:rsidR="00D22F3D" w:rsidRPr="00D22F3D" w:rsidRDefault="00D22F3D" w:rsidP="00D22F3D">
      <w:pPr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D22F3D" w:rsidRPr="00D22F3D" w:rsidRDefault="00D22F3D" w:rsidP="00D22F3D">
      <w:pPr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D22F3D" w:rsidRPr="00D22F3D" w:rsidRDefault="00D22F3D" w:rsidP="00D22F3D">
      <w:pPr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D22F3D" w:rsidRPr="00D22F3D" w:rsidRDefault="00D22F3D" w:rsidP="00D22F3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22F3D">
        <w:rPr>
          <w:rFonts w:ascii="Times New Roman" w:hAnsi="Times New Roman" w:cs="Times New Roman"/>
          <w:b/>
          <w:sz w:val="24"/>
          <w:szCs w:val="24"/>
        </w:rPr>
        <w:t xml:space="preserve">JOSIEL FERNANDO GRISELI </w:t>
      </w:r>
      <w:r w:rsidRPr="00D22F3D">
        <w:rPr>
          <w:rFonts w:ascii="Times New Roman" w:hAnsi="Times New Roman" w:cs="Times New Roman"/>
          <w:b/>
          <w:sz w:val="24"/>
          <w:szCs w:val="24"/>
        </w:rPr>
        <w:tab/>
      </w:r>
      <w:r w:rsidRPr="00D22F3D">
        <w:rPr>
          <w:rFonts w:ascii="Times New Roman" w:hAnsi="Times New Roman" w:cs="Times New Roman"/>
          <w:b/>
          <w:sz w:val="24"/>
          <w:szCs w:val="24"/>
        </w:rPr>
        <w:br/>
      </w:r>
      <w:r w:rsidRPr="00D22F3D">
        <w:rPr>
          <w:rFonts w:ascii="Times New Roman" w:hAnsi="Times New Roman" w:cs="Times New Roman"/>
          <w:sz w:val="24"/>
          <w:szCs w:val="24"/>
        </w:rPr>
        <w:t>Prefeito Municipal</w:t>
      </w:r>
    </w:p>
    <w:sectPr w:rsidR="00D22F3D" w:rsidRPr="00D22F3D" w:rsidSect="00F33379">
      <w:pgSz w:w="11906" w:h="16838"/>
      <w:pgMar w:top="2410" w:right="1361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FF0731"/>
    <w:multiLevelType w:val="hybridMultilevel"/>
    <w:tmpl w:val="9AA67A68"/>
    <w:lvl w:ilvl="0" w:tplc="5150D85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35A081B"/>
    <w:multiLevelType w:val="hybridMultilevel"/>
    <w:tmpl w:val="3D5C6118"/>
    <w:lvl w:ilvl="0" w:tplc="75141B1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36C5421"/>
    <w:multiLevelType w:val="hybridMultilevel"/>
    <w:tmpl w:val="CF5C9B5A"/>
    <w:lvl w:ilvl="0" w:tplc="E6224FD4">
      <w:start w:val="1"/>
      <w:numFmt w:val="lowerLetter"/>
      <w:lvlText w:val="%1)"/>
      <w:lvlJc w:val="left"/>
      <w:pPr>
        <w:tabs>
          <w:tab w:val="num" w:pos="1744"/>
        </w:tabs>
        <w:ind w:left="1744" w:hanging="1035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323246E"/>
    <w:multiLevelType w:val="hybridMultilevel"/>
    <w:tmpl w:val="A6D01922"/>
    <w:lvl w:ilvl="0" w:tplc="8D8A90C0">
      <w:start w:val="3"/>
      <w:numFmt w:val="decimal"/>
      <w:lvlText w:val="%1"/>
      <w:lvlJc w:val="left"/>
      <w:pPr>
        <w:tabs>
          <w:tab w:val="num" w:pos="1776"/>
        </w:tabs>
        <w:ind w:left="177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4">
    <w:nsid w:val="643061C1"/>
    <w:multiLevelType w:val="hybridMultilevel"/>
    <w:tmpl w:val="CAA6D1F4"/>
    <w:lvl w:ilvl="0" w:tplc="3DA8BE2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A7B382D"/>
    <w:multiLevelType w:val="hybridMultilevel"/>
    <w:tmpl w:val="81FAC20A"/>
    <w:lvl w:ilvl="0" w:tplc="89B208CA">
      <w:start w:val="1"/>
      <w:numFmt w:val="lowerLetter"/>
      <w:lvlText w:val="%1)"/>
      <w:lvlJc w:val="left"/>
      <w:pPr>
        <w:tabs>
          <w:tab w:val="num" w:pos="1776"/>
        </w:tabs>
        <w:ind w:left="1776" w:hanging="360"/>
      </w:pPr>
      <w:rPr>
        <w:b/>
      </w:r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628249E"/>
    <w:multiLevelType w:val="multilevel"/>
    <w:tmpl w:val="44967DA6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6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310" w:hanging="1080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6720" w:hanging="1080"/>
      </w:pPr>
      <w:rPr>
        <w:rFonts w:hint="default"/>
      </w:rPr>
    </w:lvl>
    <w:lvl w:ilvl="5">
      <w:start w:val="1"/>
      <w:numFmt w:val="decimalZero"/>
      <w:lvlText w:val="%1.%2.%3.%4.%5.%6"/>
      <w:lvlJc w:val="left"/>
      <w:pPr>
        <w:ind w:left="8490" w:hanging="1440"/>
      </w:pPr>
      <w:rPr>
        <w:rFonts w:hint="default"/>
      </w:rPr>
    </w:lvl>
    <w:lvl w:ilvl="6">
      <w:start w:val="1"/>
      <w:numFmt w:val="decimalZero"/>
      <w:lvlText w:val="%1.%2.%3.%4.%5.%6.%7"/>
      <w:lvlJc w:val="left"/>
      <w:pPr>
        <w:ind w:left="9900" w:hanging="1440"/>
      </w:pPr>
      <w:rPr>
        <w:rFonts w:hint="default"/>
      </w:rPr>
    </w:lvl>
    <w:lvl w:ilvl="7">
      <w:start w:val="1"/>
      <w:numFmt w:val="decimalZero"/>
      <w:lvlText w:val="%1.%2.%3.%4.%5.%6.%7.%8"/>
      <w:lvlJc w:val="left"/>
      <w:pPr>
        <w:ind w:left="116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440" w:hanging="2160"/>
      </w:pPr>
      <w:rPr>
        <w:rFonts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79A4"/>
    <w:rsid w:val="000179A4"/>
    <w:rsid w:val="00131A2D"/>
    <w:rsid w:val="005237C4"/>
    <w:rsid w:val="005F7780"/>
    <w:rsid w:val="00C7240F"/>
    <w:rsid w:val="00D22F3D"/>
    <w:rsid w:val="00D347B7"/>
    <w:rsid w:val="00F33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79A4"/>
  </w:style>
  <w:style w:type="paragraph" w:styleId="Ttulo1">
    <w:name w:val="heading 1"/>
    <w:basedOn w:val="Normal"/>
    <w:link w:val="Ttulo1Char"/>
    <w:qFormat/>
    <w:rsid w:val="00D22F3D"/>
    <w:pPr>
      <w:spacing w:before="100" w:beforeAutospacing="1" w:after="100" w:afterAutospacing="1" w:line="240" w:lineRule="auto"/>
      <w:outlineLvl w:val="0"/>
    </w:pPr>
    <w:rPr>
      <w:rFonts w:ascii="Arial Unicode MS" w:eastAsia="Arial Unicode MS" w:hAnsi="Arial Unicode MS" w:cs="Times New Roman"/>
      <w:b/>
      <w:bCs/>
      <w:kern w:val="36"/>
      <w:sz w:val="48"/>
      <w:szCs w:val="48"/>
      <w:lang w:val="x-none" w:eastAsia="pt-BR"/>
    </w:rPr>
  </w:style>
  <w:style w:type="paragraph" w:styleId="Ttulo2">
    <w:name w:val="heading 2"/>
    <w:basedOn w:val="Normal"/>
    <w:next w:val="Normal"/>
    <w:link w:val="Ttulo2Char"/>
    <w:qFormat/>
    <w:rsid w:val="00D22F3D"/>
    <w:pPr>
      <w:keepNext/>
      <w:spacing w:after="12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color w:val="FF0000"/>
      <w:sz w:val="24"/>
      <w:szCs w:val="20"/>
      <w:lang w:val="x-none" w:eastAsia="pt-BR"/>
    </w:rPr>
  </w:style>
  <w:style w:type="paragraph" w:styleId="Ttulo3">
    <w:name w:val="heading 3"/>
    <w:basedOn w:val="Normal"/>
    <w:link w:val="Ttulo3Char"/>
    <w:qFormat/>
    <w:rsid w:val="00D22F3D"/>
    <w:pPr>
      <w:spacing w:before="100" w:beforeAutospacing="1" w:after="100" w:afterAutospacing="1" w:line="240" w:lineRule="auto"/>
      <w:outlineLvl w:val="2"/>
    </w:pPr>
    <w:rPr>
      <w:rFonts w:ascii="Arial Unicode MS" w:eastAsia="Arial Unicode MS" w:hAnsi="Arial Unicode MS" w:cs="Times New Roman"/>
      <w:b/>
      <w:bCs/>
      <w:sz w:val="27"/>
      <w:szCs w:val="27"/>
      <w:lang w:val="x-none" w:eastAsia="pt-BR"/>
    </w:rPr>
  </w:style>
  <w:style w:type="paragraph" w:styleId="Ttulo4">
    <w:name w:val="heading 4"/>
    <w:basedOn w:val="Normal"/>
    <w:next w:val="Normal"/>
    <w:link w:val="Ttulo4Char"/>
    <w:qFormat/>
    <w:rsid w:val="00D22F3D"/>
    <w:pPr>
      <w:keepNext/>
      <w:spacing w:after="12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4"/>
      <w:szCs w:val="20"/>
      <w:lang w:val="x-none" w:eastAsia="pt-BR"/>
    </w:rPr>
  </w:style>
  <w:style w:type="paragraph" w:styleId="Ttulo5">
    <w:name w:val="heading 5"/>
    <w:basedOn w:val="Normal"/>
    <w:next w:val="Normal"/>
    <w:link w:val="Ttulo5Char"/>
    <w:qFormat/>
    <w:rsid w:val="00D22F3D"/>
    <w:pPr>
      <w:keepNext/>
      <w:spacing w:after="120" w:line="240" w:lineRule="auto"/>
      <w:ind w:firstLine="709"/>
      <w:jc w:val="center"/>
      <w:outlineLvl w:val="4"/>
    </w:pPr>
    <w:rPr>
      <w:rFonts w:ascii="Times New Roman" w:eastAsia="Times New Roman" w:hAnsi="Times New Roman" w:cs="Times New Roman"/>
      <w:b/>
      <w:bCs/>
      <w:sz w:val="24"/>
      <w:szCs w:val="20"/>
      <w:lang w:val="x-none" w:eastAsia="pt-BR"/>
    </w:rPr>
  </w:style>
  <w:style w:type="paragraph" w:styleId="Ttulo6">
    <w:name w:val="heading 6"/>
    <w:basedOn w:val="Normal"/>
    <w:link w:val="Ttulo6Char"/>
    <w:qFormat/>
    <w:rsid w:val="00D22F3D"/>
    <w:pPr>
      <w:spacing w:before="100" w:beforeAutospacing="1" w:after="100" w:afterAutospacing="1" w:line="240" w:lineRule="auto"/>
      <w:outlineLvl w:val="5"/>
    </w:pPr>
    <w:rPr>
      <w:rFonts w:ascii="Arial Unicode MS" w:eastAsia="Arial Unicode MS" w:hAnsi="Arial Unicode MS" w:cs="Times New Roman"/>
      <w:b/>
      <w:bCs/>
      <w:sz w:val="15"/>
      <w:szCs w:val="15"/>
      <w:lang w:val="x-none" w:eastAsia="pt-BR"/>
    </w:rPr>
  </w:style>
  <w:style w:type="paragraph" w:styleId="Ttulo8">
    <w:name w:val="heading 8"/>
    <w:basedOn w:val="Normal"/>
    <w:link w:val="Ttulo8Char"/>
    <w:qFormat/>
    <w:rsid w:val="00D22F3D"/>
    <w:pPr>
      <w:spacing w:before="100" w:beforeAutospacing="1" w:after="100" w:afterAutospacing="1" w:line="240" w:lineRule="auto"/>
      <w:outlineLvl w:val="7"/>
    </w:pPr>
    <w:rPr>
      <w:rFonts w:ascii="Arial Unicode MS" w:eastAsia="Arial Unicode MS" w:hAnsi="Arial Unicode MS" w:cs="Times New Roman"/>
      <w:sz w:val="24"/>
      <w:szCs w:val="24"/>
      <w:lang w:val="x-none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qFormat/>
    <w:rsid w:val="000179A4"/>
    <w:pPr>
      <w:spacing w:after="0" w:line="240" w:lineRule="auto"/>
    </w:pPr>
    <w:rPr>
      <w:rFonts w:ascii="Arial" w:eastAsia="Times New Roman" w:hAnsi="Arial" w:cs="Arial"/>
      <w:bCs/>
      <w:snapToGrid w:val="0"/>
      <w:kern w:val="20"/>
      <w:sz w:val="24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0179A4"/>
    <w:rPr>
      <w:rFonts w:ascii="Arial" w:eastAsia="Times New Roman" w:hAnsi="Arial" w:cs="Arial"/>
      <w:bCs/>
      <w:snapToGrid w:val="0"/>
      <w:kern w:val="20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D22F3D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D22F3D"/>
  </w:style>
  <w:style w:type="paragraph" w:styleId="Corpodetexto2">
    <w:name w:val="Body Text 2"/>
    <w:basedOn w:val="Normal"/>
    <w:link w:val="Corpodetexto2Char"/>
    <w:uiPriority w:val="99"/>
    <w:semiHidden/>
    <w:unhideWhenUsed/>
    <w:rsid w:val="00D22F3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D22F3D"/>
  </w:style>
  <w:style w:type="paragraph" w:styleId="Corpodetexto3">
    <w:name w:val="Body Text 3"/>
    <w:basedOn w:val="Normal"/>
    <w:link w:val="Corpodetexto3Char"/>
    <w:uiPriority w:val="99"/>
    <w:semiHidden/>
    <w:unhideWhenUsed/>
    <w:rsid w:val="00D22F3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D22F3D"/>
    <w:rPr>
      <w:sz w:val="16"/>
      <w:szCs w:val="16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D22F3D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D22F3D"/>
  </w:style>
  <w:style w:type="character" w:customStyle="1" w:styleId="Ttulo1Char">
    <w:name w:val="Título 1 Char"/>
    <w:basedOn w:val="Fontepargpadro"/>
    <w:link w:val="Ttulo1"/>
    <w:rsid w:val="00D22F3D"/>
    <w:rPr>
      <w:rFonts w:ascii="Arial Unicode MS" w:eastAsia="Arial Unicode MS" w:hAnsi="Arial Unicode MS" w:cs="Times New Roman"/>
      <w:b/>
      <w:bCs/>
      <w:kern w:val="36"/>
      <w:sz w:val="48"/>
      <w:szCs w:val="48"/>
      <w:lang w:val="x-none" w:eastAsia="pt-BR"/>
    </w:rPr>
  </w:style>
  <w:style w:type="character" w:customStyle="1" w:styleId="Ttulo2Char">
    <w:name w:val="Título 2 Char"/>
    <w:basedOn w:val="Fontepargpadro"/>
    <w:link w:val="Ttulo2"/>
    <w:rsid w:val="00D22F3D"/>
    <w:rPr>
      <w:rFonts w:ascii="Times New Roman" w:eastAsia="Times New Roman" w:hAnsi="Times New Roman" w:cs="Times New Roman"/>
      <w:b/>
      <w:bCs/>
      <w:color w:val="FF0000"/>
      <w:sz w:val="24"/>
      <w:szCs w:val="20"/>
      <w:lang w:val="x-none" w:eastAsia="pt-BR"/>
    </w:rPr>
  </w:style>
  <w:style w:type="character" w:customStyle="1" w:styleId="Ttulo3Char">
    <w:name w:val="Título 3 Char"/>
    <w:basedOn w:val="Fontepargpadro"/>
    <w:link w:val="Ttulo3"/>
    <w:rsid w:val="00D22F3D"/>
    <w:rPr>
      <w:rFonts w:ascii="Arial Unicode MS" w:eastAsia="Arial Unicode MS" w:hAnsi="Arial Unicode MS" w:cs="Times New Roman"/>
      <w:b/>
      <w:bCs/>
      <w:sz w:val="27"/>
      <w:szCs w:val="27"/>
      <w:lang w:val="x-none" w:eastAsia="pt-BR"/>
    </w:rPr>
  </w:style>
  <w:style w:type="character" w:customStyle="1" w:styleId="Ttulo4Char">
    <w:name w:val="Título 4 Char"/>
    <w:basedOn w:val="Fontepargpadro"/>
    <w:link w:val="Ttulo4"/>
    <w:rsid w:val="00D22F3D"/>
    <w:rPr>
      <w:rFonts w:ascii="Times New Roman" w:eastAsia="Times New Roman" w:hAnsi="Times New Roman" w:cs="Times New Roman"/>
      <w:b/>
      <w:bCs/>
      <w:sz w:val="24"/>
      <w:szCs w:val="20"/>
      <w:lang w:val="x-none" w:eastAsia="pt-BR"/>
    </w:rPr>
  </w:style>
  <w:style w:type="character" w:customStyle="1" w:styleId="Ttulo5Char">
    <w:name w:val="Título 5 Char"/>
    <w:basedOn w:val="Fontepargpadro"/>
    <w:link w:val="Ttulo5"/>
    <w:rsid w:val="00D22F3D"/>
    <w:rPr>
      <w:rFonts w:ascii="Times New Roman" w:eastAsia="Times New Roman" w:hAnsi="Times New Roman" w:cs="Times New Roman"/>
      <w:b/>
      <w:bCs/>
      <w:sz w:val="24"/>
      <w:szCs w:val="20"/>
      <w:lang w:val="x-none" w:eastAsia="pt-BR"/>
    </w:rPr>
  </w:style>
  <w:style w:type="character" w:customStyle="1" w:styleId="Ttulo6Char">
    <w:name w:val="Título 6 Char"/>
    <w:basedOn w:val="Fontepargpadro"/>
    <w:link w:val="Ttulo6"/>
    <w:rsid w:val="00D22F3D"/>
    <w:rPr>
      <w:rFonts w:ascii="Arial Unicode MS" w:eastAsia="Arial Unicode MS" w:hAnsi="Arial Unicode MS" w:cs="Times New Roman"/>
      <w:b/>
      <w:bCs/>
      <w:sz w:val="15"/>
      <w:szCs w:val="15"/>
      <w:lang w:val="x-none" w:eastAsia="pt-BR"/>
    </w:rPr>
  </w:style>
  <w:style w:type="character" w:customStyle="1" w:styleId="Ttulo8Char">
    <w:name w:val="Título 8 Char"/>
    <w:basedOn w:val="Fontepargpadro"/>
    <w:link w:val="Ttulo8"/>
    <w:rsid w:val="00D22F3D"/>
    <w:rPr>
      <w:rFonts w:ascii="Arial Unicode MS" w:eastAsia="Arial Unicode MS" w:hAnsi="Arial Unicode MS" w:cs="Times New Roman"/>
      <w:sz w:val="24"/>
      <w:szCs w:val="24"/>
      <w:lang w:val="x-none" w:eastAsia="pt-BR"/>
    </w:rPr>
  </w:style>
  <w:style w:type="paragraph" w:styleId="Rodap">
    <w:name w:val="footer"/>
    <w:basedOn w:val="Normal"/>
    <w:link w:val="RodapChar"/>
    <w:rsid w:val="00D22F3D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pt-BR"/>
    </w:rPr>
  </w:style>
  <w:style w:type="character" w:customStyle="1" w:styleId="RodapChar">
    <w:name w:val="Rodapé Char"/>
    <w:basedOn w:val="Fontepargpadro"/>
    <w:link w:val="Rodap"/>
    <w:rsid w:val="00D22F3D"/>
    <w:rPr>
      <w:rFonts w:ascii="Times New Roman" w:eastAsia="Times New Roman" w:hAnsi="Times New Roman" w:cs="Times New Roman"/>
      <w:sz w:val="24"/>
      <w:szCs w:val="24"/>
      <w:lang w:val="x-none" w:eastAsia="pt-BR"/>
    </w:rPr>
  </w:style>
  <w:style w:type="paragraph" w:customStyle="1" w:styleId="bodytext2">
    <w:name w:val="bodytext2"/>
    <w:basedOn w:val="Normal"/>
    <w:rsid w:val="00D22F3D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eastAsia="pt-BR"/>
    </w:rPr>
  </w:style>
  <w:style w:type="paragraph" w:styleId="TextosemFormatao">
    <w:name w:val="Plain Text"/>
    <w:basedOn w:val="Normal"/>
    <w:link w:val="TextosemFormataoChar"/>
    <w:semiHidden/>
    <w:unhideWhenUsed/>
    <w:rsid w:val="00D22F3D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TextosemFormataoChar">
    <w:name w:val="Texto sem Formatação Char"/>
    <w:basedOn w:val="Fontepargpadro"/>
    <w:link w:val="TextosemFormatao"/>
    <w:semiHidden/>
    <w:rsid w:val="00D22F3D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347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347B7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79A4"/>
  </w:style>
  <w:style w:type="paragraph" w:styleId="Ttulo1">
    <w:name w:val="heading 1"/>
    <w:basedOn w:val="Normal"/>
    <w:link w:val="Ttulo1Char"/>
    <w:qFormat/>
    <w:rsid w:val="00D22F3D"/>
    <w:pPr>
      <w:spacing w:before="100" w:beforeAutospacing="1" w:after="100" w:afterAutospacing="1" w:line="240" w:lineRule="auto"/>
      <w:outlineLvl w:val="0"/>
    </w:pPr>
    <w:rPr>
      <w:rFonts w:ascii="Arial Unicode MS" w:eastAsia="Arial Unicode MS" w:hAnsi="Arial Unicode MS" w:cs="Times New Roman"/>
      <w:b/>
      <w:bCs/>
      <w:kern w:val="36"/>
      <w:sz w:val="48"/>
      <w:szCs w:val="48"/>
      <w:lang w:val="x-none" w:eastAsia="pt-BR"/>
    </w:rPr>
  </w:style>
  <w:style w:type="paragraph" w:styleId="Ttulo2">
    <w:name w:val="heading 2"/>
    <w:basedOn w:val="Normal"/>
    <w:next w:val="Normal"/>
    <w:link w:val="Ttulo2Char"/>
    <w:qFormat/>
    <w:rsid w:val="00D22F3D"/>
    <w:pPr>
      <w:keepNext/>
      <w:spacing w:after="12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color w:val="FF0000"/>
      <w:sz w:val="24"/>
      <w:szCs w:val="20"/>
      <w:lang w:val="x-none" w:eastAsia="pt-BR"/>
    </w:rPr>
  </w:style>
  <w:style w:type="paragraph" w:styleId="Ttulo3">
    <w:name w:val="heading 3"/>
    <w:basedOn w:val="Normal"/>
    <w:link w:val="Ttulo3Char"/>
    <w:qFormat/>
    <w:rsid w:val="00D22F3D"/>
    <w:pPr>
      <w:spacing w:before="100" w:beforeAutospacing="1" w:after="100" w:afterAutospacing="1" w:line="240" w:lineRule="auto"/>
      <w:outlineLvl w:val="2"/>
    </w:pPr>
    <w:rPr>
      <w:rFonts w:ascii="Arial Unicode MS" w:eastAsia="Arial Unicode MS" w:hAnsi="Arial Unicode MS" w:cs="Times New Roman"/>
      <w:b/>
      <w:bCs/>
      <w:sz w:val="27"/>
      <w:szCs w:val="27"/>
      <w:lang w:val="x-none" w:eastAsia="pt-BR"/>
    </w:rPr>
  </w:style>
  <w:style w:type="paragraph" w:styleId="Ttulo4">
    <w:name w:val="heading 4"/>
    <w:basedOn w:val="Normal"/>
    <w:next w:val="Normal"/>
    <w:link w:val="Ttulo4Char"/>
    <w:qFormat/>
    <w:rsid w:val="00D22F3D"/>
    <w:pPr>
      <w:keepNext/>
      <w:spacing w:after="12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4"/>
      <w:szCs w:val="20"/>
      <w:lang w:val="x-none" w:eastAsia="pt-BR"/>
    </w:rPr>
  </w:style>
  <w:style w:type="paragraph" w:styleId="Ttulo5">
    <w:name w:val="heading 5"/>
    <w:basedOn w:val="Normal"/>
    <w:next w:val="Normal"/>
    <w:link w:val="Ttulo5Char"/>
    <w:qFormat/>
    <w:rsid w:val="00D22F3D"/>
    <w:pPr>
      <w:keepNext/>
      <w:spacing w:after="120" w:line="240" w:lineRule="auto"/>
      <w:ind w:firstLine="709"/>
      <w:jc w:val="center"/>
      <w:outlineLvl w:val="4"/>
    </w:pPr>
    <w:rPr>
      <w:rFonts w:ascii="Times New Roman" w:eastAsia="Times New Roman" w:hAnsi="Times New Roman" w:cs="Times New Roman"/>
      <w:b/>
      <w:bCs/>
      <w:sz w:val="24"/>
      <w:szCs w:val="20"/>
      <w:lang w:val="x-none" w:eastAsia="pt-BR"/>
    </w:rPr>
  </w:style>
  <w:style w:type="paragraph" w:styleId="Ttulo6">
    <w:name w:val="heading 6"/>
    <w:basedOn w:val="Normal"/>
    <w:link w:val="Ttulo6Char"/>
    <w:qFormat/>
    <w:rsid w:val="00D22F3D"/>
    <w:pPr>
      <w:spacing w:before="100" w:beforeAutospacing="1" w:after="100" w:afterAutospacing="1" w:line="240" w:lineRule="auto"/>
      <w:outlineLvl w:val="5"/>
    </w:pPr>
    <w:rPr>
      <w:rFonts w:ascii="Arial Unicode MS" w:eastAsia="Arial Unicode MS" w:hAnsi="Arial Unicode MS" w:cs="Times New Roman"/>
      <w:b/>
      <w:bCs/>
      <w:sz w:val="15"/>
      <w:szCs w:val="15"/>
      <w:lang w:val="x-none" w:eastAsia="pt-BR"/>
    </w:rPr>
  </w:style>
  <w:style w:type="paragraph" w:styleId="Ttulo8">
    <w:name w:val="heading 8"/>
    <w:basedOn w:val="Normal"/>
    <w:link w:val="Ttulo8Char"/>
    <w:qFormat/>
    <w:rsid w:val="00D22F3D"/>
    <w:pPr>
      <w:spacing w:before="100" w:beforeAutospacing="1" w:after="100" w:afterAutospacing="1" w:line="240" w:lineRule="auto"/>
      <w:outlineLvl w:val="7"/>
    </w:pPr>
    <w:rPr>
      <w:rFonts w:ascii="Arial Unicode MS" w:eastAsia="Arial Unicode MS" w:hAnsi="Arial Unicode MS" w:cs="Times New Roman"/>
      <w:sz w:val="24"/>
      <w:szCs w:val="24"/>
      <w:lang w:val="x-none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qFormat/>
    <w:rsid w:val="000179A4"/>
    <w:pPr>
      <w:spacing w:after="0" w:line="240" w:lineRule="auto"/>
    </w:pPr>
    <w:rPr>
      <w:rFonts w:ascii="Arial" w:eastAsia="Times New Roman" w:hAnsi="Arial" w:cs="Arial"/>
      <w:bCs/>
      <w:snapToGrid w:val="0"/>
      <w:kern w:val="20"/>
      <w:sz w:val="24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0179A4"/>
    <w:rPr>
      <w:rFonts w:ascii="Arial" w:eastAsia="Times New Roman" w:hAnsi="Arial" w:cs="Arial"/>
      <w:bCs/>
      <w:snapToGrid w:val="0"/>
      <w:kern w:val="20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D22F3D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D22F3D"/>
  </w:style>
  <w:style w:type="paragraph" w:styleId="Corpodetexto2">
    <w:name w:val="Body Text 2"/>
    <w:basedOn w:val="Normal"/>
    <w:link w:val="Corpodetexto2Char"/>
    <w:uiPriority w:val="99"/>
    <w:semiHidden/>
    <w:unhideWhenUsed/>
    <w:rsid w:val="00D22F3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D22F3D"/>
  </w:style>
  <w:style w:type="paragraph" w:styleId="Corpodetexto3">
    <w:name w:val="Body Text 3"/>
    <w:basedOn w:val="Normal"/>
    <w:link w:val="Corpodetexto3Char"/>
    <w:uiPriority w:val="99"/>
    <w:semiHidden/>
    <w:unhideWhenUsed/>
    <w:rsid w:val="00D22F3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D22F3D"/>
    <w:rPr>
      <w:sz w:val="16"/>
      <w:szCs w:val="16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D22F3D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D22F3D"/>
  </w:style>
  <w:style w:type="character" w:customStyle="1" w:styleId="Ttulo1Char">
    <w:name w:val="Título 1 Char"/>
    <w:basedOn w:val="Fontepargpadro"/>
    <w:link w:val="Ttulo1"/>
    <w:rsid w:val="00D22F3D"/>
    <w:rPr>
      <w:rFonts w:ascii="Arial Unicode MS" w:eastAsia="Arial Unicode MS" w:hAnsi="Arial Unicode MS" w:cs="Times New Roman"/>
      <w:b/>
      <w:bCs/>
      <w:kern w:val="36"/>
      <w:sz w:val="48"/>
      <w:szCs w:val="48"/>
      <w:lang w:val="x-none" w:eastAsia="pt-BR"/>
    </w:rPr>
  </w:style>
  <w:style w:type="character" w:customStyle="1" w:styleId="Ttulo2Char">
    <w:name w:val="Título 2 Char"/>
    <w:basedOn w:val="Fontepargpadro"/>
    <w:link w:val="Ttulo2"/>
    <w:rsid w:val="00D22F3D"/>
    <w:rPr>
      <w:rFonts w:ascii="Times New Roman" w:eastAsia="Times New Roman" w:hAnsi="Times New Roman" w:cs="Times New Roman"/>
      <w:b/>
      <w:bCs/>
      <w:color w:val="FF0000"/>
      <w:sz w:val="24"/>
      <w:szCs w:val="20"/>
      <w:lang w:val="x-none" w:eastAsia="pt-BR"/>
    </w:rPr>
  </w:style>
  <w:style w:type="character" w:customStyle="1" w:styleId="Ttulo3Char">
    <w:name w:val="Título 3 Char"/>
    <w:basedOn w:val="Fontepargpadro"/>
    <w:link w:val="Ttulo3"/>
    <w:rsid w:val="00D22F3D"/>
    <w:rPr>
      <w:rFonts w:ascii="Arial Unicode MS" w:eastAsia="Arial Unicode MS" w:hAnsi="Arial Unicode MS" w:cs="Times New Roman"/>
      <w:b/>
      <w:bCs/>
      <w:sz w:val="27"/>
      <w:szCs w:val="27"/>
      <w:lang w:val="x-none" w:eastAsia="pt-BR"/>
    </w:rPr>
  </w:style>
  <w:style w:type="character" w:customStyle="1" w:styleId="Ttulo4Char">
    <w:name w:val="Título 4 Char"/>
    <w:basedOn w:val="Fontepargpadro"/>
    <w:link w:val="Ttulo4"/>
    <w:rsid w:val="00D22F3D"/>
    <w:rPr>
      <w:rFonts w:ascii="Times New Roman" w:eastAsia="Times New Roman" w:hAnsi="Times New Roman" w:cs="Times New Roman"/>
      <w:b/>
      <w:bCs/>
      <w:sz w:val="24"/>
      <w:szCs w:val="20"/>
      <w:lang w:val="x-none" w:eastAsia="pt-BR"/>
    </w:rPr>
  </w:style>
  <w:style w:type="character" w:customStyle="1" w:styleId="Ttulo5Char">
    <w:name w:val="Título 5 Char"/>
    <w:basedOn w:val="Fontepargpadro"/>
    <w:link w:val="Ttulo5"/>
    <w:rsid w:val="00D22F3D"/>
    <w:rPr>
      <w:rFonts w:ascii="Times New Roman" w:eastAsia="Times New Roman" w:hAnsi="Times New Roman" w:cs="Times New Roman"/>
      <w:b/>
      <w:bCs/>
      <w:sz w:val="24"/>
      <w:szCs w:val="20"/>
      <w:lang w:val="x-none" w:eastAsia="pt-BR"/>
    </w:rPr>
  </w:style>
  <w:style w:type="character" w:customStyle="1" w:styleId="Ttulo6Char">
    <w:name w:val="Título 6 Char"/>
    <w:basedOn w:val="Fontepargpadro"/>
    <w:link w:val="Ttulo6"/>
    <w:rsid w:val="00D22F3D"/>
    <w:rPr>
      <w:rFonts w:ascii="Arial Unicode MS" w:eastAsia="Arial Unicode MS" w:hAnsi="Arial Unicode MS" w:cs="Times New Roman"/>
      <w:b/>
      <w:bCs/>
      <w:sz w:val="15"/>
      <w:szCs w:val="15"/>
      <w:lang w:val="x-none" w:eastAsia="pt-BR"/>
    </w:rPr>
  </w:style>
  <w:style w:type="character" w:customStyle="1" w:styleId="Ttulo8Char">
    <w:name w:val="Título 8 Char"/>
    <w:basedOn w:val="Fontepargpadro"/>
    <w:link w:val="Ttulo8"/>
    <w:rsid w:val="00D22F3D"/>
    <w:rPr>
      <w:rFonts w:ascii="Arial Unicode MS" w:eastAsia="Arial Unicode MS" w:hAnsi="Arial Unicode MS" w:cs="Times New Roman"/>
      <w:sz w:val="24"/>
      <w:szCs w:val="24"/>
      <w:lang w:val="x-none" w:eastAsia="pt-BR"/>
    </w:rPr>
  </w:style>
  <w:style w:type="paragraph" w:styleId="Rodap">
    <w:name w:val="footer"/>
    <w:basedOn w:val="Normal"/>
    <w:link w:val="RodapChar"/>
    <w:rsid w:val="00D22F3D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pt-BR"/>
    </w:rPr>
  </w:style>
  <w:style w:type="character" w:customStyle="1" w:styleId="RodapChar">
    <w:name w:val="Rodapé Char"/>
    <w:basedOn w:val="Fontepargpadro"/>
    <w:link w:val="Rodap"/>
    <w:rsid w:val="00D22F3D"/>
    <w:rPr>
      <w:rFonts w:ascii="Times New Roman" w:eastAsia="Times New Roman" w:hAnsi="Times New Roman" w:cs="Times New Roman"/>
      <w:sz w:val="24"/>
      <w:szCs w:val="24"/>
      <w:lang w:val="x-none" w:eastAsia="pt-BR"/>
    </w:rPr>
  </w:style>
  <w:style w:type="paragraph" w:customStyle="1" w:styleId="bodytext2">
    <w:name w:val="bodytext2"/>
    <w:basedOn w:val="Normal"/>
    <w:rsid w:val="00D22F3D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eastAsia="pt-BR"/>
    </w:rPr>
  </w:style>
  <w:style w:type="paragraph" w:styleId="TextosemFormatao">
    <w:name w:val="Plain Text"/>
    <w:basedOn w:val="Normal"/>
    <w:link w:val="TextosemFormataoChar"/>
    <w:semiHidden/>
    <w:unhideWhenUsed/>
    <w:rsid w:val="00D22F3D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TextosemFormataoChar">
    <w:name w:val="Texto sem Formatação Char"/>
    <w:basedOn w:val="Fontepargpadro"/>
    <w:link w:val="TextosemFormatao"/>
    <w:semiHidden/>
    <w:rsid w:val="00D22F3D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347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347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3.xml"/><Relationship Id="rId3" Type="http://schemas.microsoft.com/office/2007/relationships/stylesWithEffects" Target="stylesWithEffects.xml"/><Relationship Id="rId7" Type="http://schemas.openxmlformats.org/officeDocument/2006/relationships/chart" Target="charts/chart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1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hart" Target="charts/chart4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oleObject" Target="file:///\\servidor\publico\Past%20Files\CONTABILIDADE\CONTABILIDADE%202027%20-%20PP\LDO%202027-PP\ANEXOS%20RECEITAS%20LDO%20-%20PP%20-%202027%20-%20Novo.xls" TargetMode="External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oleObject" Target="file:///\\servidor\publico\Past%20Files\CONTABILIDADE\CONTABILIDADE%202027%20-%20PP\LDO%202027-PP\LDO%202027-%20DADOS%20DA%20DESPESA%20PARA%20AUDI&#202;NCIA%20-%20PP.xls" TargetMode="External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oleObject" Target="file:///\\servidor\publico\Past%20Files\CONTABILIDADE\CONTABILIDADE%202027%20-%20PP\LDO%202027-PP\LDO%202027-%20DADOS%20DA%20DESPESA%20PARA%20AUDI&#202;NCIA%20-%20PP.xls" TargetMode="External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oleObject" Target="file:///\\servidor\publico\Past%20Files\CONTABILIDADE\CONTABILIDADE%202027%20-%20PP\LDO%202027-PP\LDO%202027-%20DADOS%20DA%20DESPESA%20PARA%20AUDI&#202;NCIA%20-%20PP.xls" TargetMode="External"/><Relationship Id="rId1" Type="http://schemas.openxmlformats.org/officeDocument/2006/relationships/themeOverride" Target="../theme/themeOverrid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36"/>
    </mc:Choice>
    <mc:Fallback>
      <c:style val="36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600" b="1" i="0" u="sng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r>
              <a:rPr lang="pt-BR"/>
              <a:t>Evolução das Receitas - Ponte Preta</a:t>
            </a:r>
          </a:p>
        </c:rich>
      </c:tx>
      <c:layout>
        <c:manualLayout>
          <c:xMode val="edge"/>
          <c:yMode val="edge"/>
          <c:x val="0.37143058898053177"/>
          <c:y val="2.1122089038233278E-2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0.1666158754873335"/>
          <c:y val="0.10829107801943101"/>
          <c:w val="0.83277494143287945"/>
          <c:h val="0.76649746192893398"/>
        </c:manualLayout>
      </c:layout>
      <c:lineChart>
        <c:grouping val="stacked"/>
        <c:varyColors val="0"/>
        <c:ser>
          <c:idx val="1"/>
          <c:order val="0"/>
          <c:tx>
            <c:strRef>
              <c:f>Receita!$A$90:$A$100</c:f>
              <c:strCache>
                <c:ptCount val="11"/>
                <c:pt idx="0">
                  <c:v>2019</c:v>
                </c:pt>
                <c:pt idx="1">
                  <c:v>2020</c:v>
                </c:pt>
                <c:pt idx="2">
                  <c:v>2021</c:v>
                </c:pt>
                <c:pt idx="3">
                  <c:v>2022</c:v>
                </c:pt>
                <c:pt idx="4">
                  <c:v>2023</c:v>
                </c:pt>
                <c:pt idx="5">
                  <c:v>2024</c:v>
                </c:pt>
                <c:pt idx="6">
                  <c:v>2025</c:v>
                </c:pt>
                <c:pt idx="7">
                  <c:v>2026</c:v>
                </c:pt>
                <c:pt idx="8">
                  <c:v>2027</c:v>
                </c:pt>
                <c:pt idx="9">
                  <c:v>2028</c:v>
                </c:pt>
                <c:pt idx="10">
                  <c:v>2029</c:v>
                </c:pt>
              </c:strCache>
            </c:strRef>
          </c:tx>
          <c:spPr>
            <a:ln w="38100">
              <a:solidFill>
                <a:srgbClr val="FF0000"/>
              </a:solidFill>
            </a:ln>
            <a:effectLst>
              <a:innerShdw blurRad="127000" dist="50800" dir="18900000">
                <a:schemeClr val="tx2">
                  <a:lumMod val="75000"/>
                  <a:alpha val="50000"/>
                </a:schemeClr>
              </a:innerShdw>
            </a:effectLst>
          </c:spPr>
          <c:marker>
            <c:spPr>
              <a:gradFill flip="none" rotWithShape="1">
                <a:gsLst>
                  <a:gs pos="0">
                    <a:schemeClr val="accent1">
                      <a:shade val="30000"/>
                      <a:satMod val="115000"/>
                    </a:schemeClr>
                  </a:gs>
                  <a:gs pos="50000">
                    <a:schemeClr val="accent1">
                      <a:shade val="67500"/>
                      <a:satMod val="115000"/>
                    </a:schemeClr>
                  </a:gs>
                  <a:gs pos="100000">
                    <a:schemeClr val="accent1">
                      <a:shade val="100000"/>
                      <a:satMod val="115000"/>
                    </a:schemeClr>
                  </a:gs>
                </a:gsLst>
                <a:lin ang="2700000" scaled="1"/>
                <a:tileRect/>
              </a:gradFill>
              <a:ln w="38100"/>
              <a:effectLst>
                <a:innerShdw blurRad="127000" dist="50800" dir="18900000">
                  <a:schemeClr val="tx2">
                    <a:lumMod val="75000"/>
                    <a:alpha val="50000"/>
                  </a:schemeClr>
                </a:innerShdw>
              </a:effectLst>
            </c:spPr>
          </c:marker>
          <c:cat>
            <c:numRef>
              <c:f>Receita!$A$90:$A$99</c:f>
              <c:numCache>
                <c:formatCode>General</c:formatCode>
                <c:ptCount val="10"/>
                <c:pt idx="0">
                  <c:v>2019</c:v>
                </c:pt>
                <c:pt idx="1">
                  <c:v>2020</c:v>
                </c:pt>
                <c:pt idx="2">
                  <c:v>2021</c:v>
                </c:pt>
                <c:pt idx="3">
                  <c:v>2022</c:v>
                </c:pt>
                <c:pt idx="4">
                  <c:v>2023</c:v>
                </c:pt>
                <c:pt idx="5">
                  <c:v>2024</c:v>
                </c:pt>
                <c:pt idx="6">
                  <c:v>2025</c:v>
                </c:pt>
                <c:pt idx="7">
                  <c:v>2026</c:v>
                </c:pt>
                <c:pt idx="8">
                  <c:v>2027</c:v>
                </c:pt>
                <c:pt idx="9">
                  <c:v>2028</c:v>
                </c:pt>
              </c:numCache>
            </c:numRef>
          </c:cat>
          <c:val>
            <c:numRef>
              <c:f>Receita!$P$90:$P$100</c:f>
              <c:numCache>
                <c:formatCode>#,##0.00</c:formatCode>
                <c:ptCount val="11"/>
                <c:pt idx="0">
                  <c:v>15671682.800000001</c:v>
                </c:pt>
                <c:pt idx="1">
                  <c:v>16298297.979999999</c:v>
                </c:pt>
                <c:pt idx="2">
                  <c:v>20726293.080000002</c:v>
                </c:pt>
                <c:pt idx="3">
                  <c:v>24832291.199999999</c:v>
                </c:pt>
                <c:pt idx="4">
                  <c:v>24832291.199999999</c:v>
                </c:pt>
                <c:pt idx="5">
                  <c:v>33798265.559999995</c:v>
                </c:pt>
                <c:pt idx="6">
                  <c:v>30292140.870000001</c:v>
                </c:pt>
                <c:pt idx="7">
                  <c:v>32871734.399999999</c:v>
                </c:pt>
                <c:pt idx="8">
                  <c:v>34500000</c:v>
                </c:pt>
                <c:pt idx="9">
                  <c:v>35730811.25</c:v>
                </c:pt>
                <c:pt idx="10">
                  <c:v>37197203.821249992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A447-4B76-BCA3-668D81269CC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82391808"/>
        <c:axId val="82394112"/>
      </c:lineChart>
      <c:catAx>
        <c:axId val="82391808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600" b="1" i="0" u="none" strike="noStrike" baseline="0">
                    <a:solidFill>
                      <a:srgbClr val="FF0000"/>
                    </a:solidFill>
                    <a:latin typeface="Calibri"/>
                    <a:ea typeface="Calibri"/>
                    <a:cs typeface="Calibri"/>
                  </a:defRPr>
                </a:pPr>
                <a:r>
                  <a:rPr lang="pt-BR"/>
                  <a:t>Anos</a:t>
                </a:r>
              </a:p>
            </c:rich>
          </c:tx>
          <c:layout>
            <c:manualLayout>
              <c:xMode val="edge"/>
              <c:yMode val="edge"/>
              <c:x val="0.52536990739659029"/>
              <c:y val="0.95046491799989963"/>
            </c:manualLayout>
          </c:layout>
          <c:overlay val="0"/>
        </c:title>
        <c:numFmt formatCode="General" sourceLinked="1"/>
        <c:majorTickMark val="none"/>
        <c:minorTickMark val="none"/>
        <c:tickLblPos val="nextTo"/>
        <c:txPr>
          <a:bodyPr rot="0" vert="horz"/>
          <a:lstStyle/>
          <a:p>
            <a:pPr>
              <a:defRPr sz="1000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pt-BR"/>
          </a:p>
        </c:txPr>
        <c:crossAx val="82394112"/>
        <c:crosses val="autoZero"/>
        <c:auto val="1"/>
        <c:lblAlgn val="ctr"/>
        <c:lblOffset val="100"/>
        <c:noMultiLvlLbl val="0"/>
      </c:catAx>
      <c:valAx>
        <c:axId val="82394112"/>
        <c:scaling>
          <c:orientation val="minMax"/>
        </c:scaling>
        <c:delete val="0"/>
        <c:axPos val="l"/>
        <c:majorGridlines/>
        <c:title>
          <c:tx>
            <c:rich>
              <a:bodyPr/>
              <a:lstStyle/>
              <a:p>
                <a:pPr>
                  <a:defRPr sz="1200" b="1" i="0" u="none" strike="noStrike" baseline="0">
                    <a:solidFill>
                      <a:srgbClr val="FF0000"/>
                    </a:solidFill>
                    <a:latin typeface="Calibri"/>
                    <a:ea typeface="Calibri"/>
                    <a:cs typeface="Calibri"/>
                  </a:defRPr>
                </a:pPr>
                <a:r>
                  <a:rPr lang="pt-BR"/>
                  <a:t>Valores</a:t>
                </a:r>
              </a:p>
            </c:rich>
          </c:tx>
          <c:layout>
            <c:manualLayout>
              <c:xMode val="edge"/>
              <c:yMode val="edge"/>
              <c:x val="5.6600491704115619E-3"/>
              <c:y val="0.41416955046224319"/>
            </c:manualLayout>
          </c:layout>
          <c:overlay val="0"/>
        </c:title>
        <c:numFmt formatCode="#,##0.00" sourceLinked="1"/>
        <c:majorTickMark val="out"/>
        <c:minorTickMark val="none"/>
        <c:tickLblPos val="nextTo"/>
        <c:txPr>
          <a:bodyPr rot="0" vert="horz"/>
          <a:lstStyle/>
          <a:p>
            <a:pPr>
              <a:defRPr sz="1000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pt-BR"/>
          </a:p>
        </c:txPr>
        <c:crossAx val="82391808"/>
        <c:crosses val="autoZero"/>
        <c:crossBetween val="between"/>
      </c:valAx>
      <c:spPr>
        <a:solidFill>
          <a:schemeClr val="tx2">
            <a:lumMod val="20000"/>
            <a:lumOff val="80000"/>
          </a:schemeClr>
        </a:solidFill>
      </c:spPr>
    </c:plotArea>
    <c:plotVisOnly val="1"/>
    <c:dispBlanksAs val="gap"/>
    <c:showDLblsOverMax val="0"/>
  </c:chart>
  <c:spPr>
    <a:ln>
      <a:noFill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pt-BR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100" b="1" i="0" u="sng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r>
              <a:rPr lang="pt-BR"/>
              <a:t>DESPESAS EMPENHADA ATÉ 08/2026</a:t>
            </a:r>
          </a:p>
        </c:rich>
      </c:tx>
      <c:layout>
        <c:manualLayout>
          <c:xMode val="edge"/>
          <c:yMode val="edge"/>
          <c:x val="0.3854573785137016"/>
          <c:y val="3.2712606784024607E-2"/>
        </c:manualLayout>
      </c:layout>
      <c:overlay val="0"/>
      <c:spPr>
        <a:noFill/>
        <a:ln w="25400">
          <a:noFill/>
        </a:ln>
      </c:spPr>
    </c:title>
    <c:autoTitleDeleted val="0"/>
    <c:view3D>
      <c:rotX val="15"/>
      <c:hPercent val="55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8.4375000000000006E-2"/>
          <c:y val="0.11784511784511786"/>
          <c:w val="0.9052083333333335"/>
          <c:h val="0.77104377104377153"/>
        </c:manualLayout>
      </c:layout>
      <c:bar3DChart>
        <c:barDir val="col"/>
        <c:grouping val="clustered"/>
        <c:varyColors val="0"/>
        <c:ser>
          <c:idx val="0"/>
          <c:order val="0"/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1.6872047244094503E-2"/>
                  <c:y val="-3.4700813913412336E-2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1000" b="0" i="0" u="none" strike="noStrike" baseline="0">
                      <a:solidFill>
                        <a:srgbClr val="000000"/>
                      </a:solidFill>
                      <a:latin typeface="Arial"/>
                      <a:ea typeface="Arial"/>
                      <a:cs typeface="Arial"/>
                    </a:defRPr>
                  </a:pPr>
                  <a:endParaRPr lang="pt-BR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217D-455A-AFD9-31E2CC9E4DFD}"/>
                </c:ext>
              </c:extLst>
            </c:dLbl>
            <c:dLbl>
              <c:idx val="1"/>
              <c:layout>
                <c:manualLayout>
                  <c:x val="1.5207239720034991E-2"/>
                  <c:y val="-2.9012787542971246E-2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1000" b="0" i="0" u="none" strike="noStrike" baseline="0">
                      <a:solidFill>
                        <a:srgbClr val="000000"/>
                      </a:solidFill>
                      <a:latin typeface="Arial"/>
                      <a:ea typeface="Arial"/>
                      <a:cs typeface="Arial"/>
                    </a:defRPr>
                  </a:pPr>
                  <a:endParaRPr lang="pt-BR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217D-455A-AFD9-31E2CC9E4DFD}"/>
                </c:ext>
              </c:extLst>
            </c:dLbl>
            <c:dLbl>
              <c:idx val="2"/>
              <c:layout>
                <c:manualLayout>
                  <c:x val="1.1458989501312326E-2"/>
                  <c:y val="-2.986417101902665E-2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1000" b="0" i="0" u="none" strike="noStrike" baseline="0">
                      <a:solidFill>
                        <a:srgbClr val="000000"/>
                      </a:solidFill>
                      <a:latin typeface="Arial"/>
                      <a:ea typeface="Arial"/>
                      <a:cs typeface="Arial"/>
                    </a:defRPr>
                  </a:pPr>
                  <a:endParaRPr lang="pt-BR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217D-455A-AFD9-31E2CC9E4DFD}"/>
                </c:ext>
              </c:extLst>
            </c:dLbl>
            <c:dLbl>
              <c:idx val="3"/>
              <c:layout>
                <c:manualLayout>
                  <c:x val="1.1571850393700813E-2"/>
                  <c:y val="-2.7376476930282678E-2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1000" b="0" i="0" u="none" strike="noStrike" baseline="0">
                      <a:solidFill>
                        <a:srgbClr val="000000"/>
                      </a:solidFill>
                      <a:latin typeface="Arial"/>
                      <a:ea typeface="Arial"/>
                      <a:cs typeface="Arial"/>
                    </a:defRPr>
                  </a:pPr>
                  <a:endParaRPr lang="pt-BR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3-217D-455A-AFD9-31E2CC9E4DFD}"/>
                </c:ext>
              </c:extLst>
            </c:dLbl>
            <c:dLbl>
              <c:idx val="4"/>
              <c:layout>
                <c:manualLayout>
                  <c:x val="1.8240376202974719E-2"/>
                  <c:y val="-2.4744028208595132E-2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1000" b="0" i="0" u="none" strike="noStrike" baseline="0">
                      <a:solidFill>
                        <a:srgbClr val="000000"/>
                      </a:solidFill>
                      <a:latin typeface="Arial"/>
                      <a:ea typeface="Arial"/>
                      <a:cs typeface="Arial"/>
                    </a:defRPr>
                  </a:pPr>
                  <a:endParaRPr lang="pt-BR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4-217D-455A-AFD9-31E2CC9E4DFD}"/>
                </c:ext>
              </c:extLst>
            </c:dLbl>
            <c:dLbl>
              <c:idx val="5"/>
              <c:layout>
                <c:manualLayout>
                  <c:x val="2.0742125984252031E-2"/>
                  <c:y val="-3.9224440379296038E-2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1000" b="0" i="0" u="none" strike="noStrike" baseline="0">
                      <a:solidFill>
                        <a:srgbClr val="000000"/>
                      </a:solidFill>
                      <a:latin typeface="Arial"/>
                      <a:ea typeface="Arial"/>
                      <a:cs typeface="Arial"/>
                    </a:defRPr>
                  </a:pPr>
                  <a:endParaRPr lang="pt-BR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5-217D-455A-AFD9-31E2CC9E4DFD}"/>
                </c:ext>
              </c:extLst>
            </c:dLbl>
            <c:dLbl>
              <c:idx val="6"/>
              <c:layout>
                <c:manualLayout>
                  <c:x val="1.8035542432196076E-2"/>
                  <c:y val="-3.4211051901340592E-2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1000" b="0" i="0" u="none" strike="noStrike" baseline="0">
                      <a:solidFill>
                        <a:srgbClr val="000000"/>
                      </a:solidFill>
                      <a:latin typeface="Arial"/>
                      <a:ea typeface="Arial"/>
                      <a:cs typeface="Arial"/>
                    </a:defRPr>
                  </a:pPr>
                  <a:endParaRPr lang="pt-BR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6-217D-455A-AFD9-31E2CC9E4DFD}"/>
                </c:ext>
              </c:extLst>
            </c:dLbl>
            <c:dLbl>
              <c:idx val="7"/>
              <c:layout>
                <c:manualLayout>
                  <c:x val="1.8759623797025341E-2"/>
                  <c:y val="-2.5589579080392801E-2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1000" b="0" i="0" u="none" strike="noStrike" baseline="0">
                      <a:solidFill>
                        <a:srgbClr val="000000"/>
                      </a:solidFill>
                      <a:latin typeface="Arial"/>
                      <a:ea typeface="Arial"/>
                      <a:cs typeface="Arial"/>
                    </a:defRPr>
                  </a:pPr>
                  <a:endParaRPr lang="pt-BR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217D-455A-AFD9-31E2CC9E4DFD}"/>
                </c:ext>
              </c:extLst>
            </c:dLbl>
            <c:spPr>
              <a:noFill/>
              <a:ln w="25400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00" b="0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pt-BR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'Totais-Este q estou usando'!$L$5:$L$11</c:f>
              <c:strCache>
                <c:ptCount val="7"/>
                <c:pt idx="0">
                  <c:v>Câm.Ver.</c:v>
                </c:pt>
                <c:pt idx="1">
                  <c:v>Gab.Pref.</c:v>
                </c:pt>
                <c:pt idx="2">
                  <c:v>Adm/Faz</c:v>
                </c:pt>
                <c:pt idx="3">
                  <c:v>Obras/Agric</c:v>
                </c:pt>
                <c:pt idx="4">
                  <c:v>Educação</c:v>
                </c:pt>
                <c:pt idx="5">
                  <c:v>Saúde/Assit</c:v>
                </c:pt>
                <c:pt idx="6">
                  <c:v>Encargos</c:v>
                </c:pt>
              </c:strCache>
            </c:strRef>
          </c:cat>
          <c:val>
            <c:numRef>
              <c:f>'Totais-Este q estou usando'!$H$5:$H$11</c:f>
              <c:numCache>
                <c:formatCode>0.00%</c:formatCode>
                <c:ptCount val="7"/>
                <c:pt idx="0">
                  <c:v>1.6673980888952777E-2</c:v>
                </c:pt>
                <c:pt idx="1">
                  <c:v>3.0988124503399914E-2</c:v>
                </c:pt>
                <c:pt idx="2">
                  <c:v>0.11238224193259644</c:v>
                </c:pt>
                <c:pt idx="3">
                  <c:v>0.401044852933649</c:v>
                </c:pt>
                <c:pt idx="4">
                  <c:v>0.16281354877667903</c:v>
                </c:pt>
                <c:pt idx="5">
                  <c:v>0.25090207007386073</c:v>
                </c:pt>
                <c:pt idx="6">
                  <c:v>2.5195180890862263E-2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217D-455A-AFD9-31E2CC9E4DF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shape val="box"/>
        <c:axId val="113410048"/>
        <c:axId val="113411968"/>
        <c:axId val="0"/>
      </c:bar3DChart>
      <c:catAx>
        <c:axId val="113410048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2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r>
                  <a:rPr lang="pt-BR"/>
                  <a:t>Secretarias</a:t>
                </a:r>
              </a:p>
            </c:rich>
          </c:tx>
          <c:layout>
            <c:manualLayout>
              <c:xMode val="edge"/>
              <c:yMode val="edge"/>
              <c:x val="0.47482724949618765"/>
              <c:y val="0.94089456174666064"/>
            </c:manualLayout>
          </c:layout>
          <c:overlay val="0"/>
          <c:spPr>
            <a:noFill/>
            <a:ln w="25400">
              <a:noFill/>
            </a:ln>
          </c:spPr>
        </c:title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pt-BR"/>
          </a:p>
        </c:txPr>
        <c:crossAx val="11341196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13411968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title>
          <c:tx>
            <c:rich>
              <a:bodyPr rot="0" vert="horz"/>
              <a:lstStyle/>
              <a:p>
                <a:pPr algn="ctr">
                  <a:defRPr sz="10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r>
                  <a:rPr lang="pt-BR"/>
                  <a:t>%</a:t>
                </a:r>
              </a:p>
            </c:rich>
          </c:tx>
          <c:layout>
            <c:manualLayout>
              <c:xMode val="edge"/>
              <c:yMode val="edge"/>
              <c:x val="1.0045083414705087E-4"/>
              <c:y val="0.51010097463931658"/>
            </c:manualLayout>
          </c:layout>
          <c:overlay val="0"/>
          <c:spPr>
            <a:noFill/>
            <a:ln w="25400">
              <a:noFill/>
            </a:ln>
          </c:spPr>
        </c:title>
        <c:numFmt formatCode="0.0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2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pt-BR"/>
          </a:p>
        </c:txPr>
        <c:crossAx val="113410048"/>
        <c:crosses val="autoZero"/>
        <c:crossBetween val="between"/>
      </c:valAx>
      <c:spPr>
        <a:noFill/>
        <a:ln w="25400">
          <a:noFill/>
        </a:ln>
      </c:spPr>
    </c:plotArea>
    <c:plotVisOnly val="1"/>
    <c:dispBlanksAs val="gap"/>
    <c:showDLblsOverMax val="0"/>
  </c:chart>
  <c:spPr>
    <a:noFill/>
    <a:ln w="9525">
      <a:noFill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pt-BR"/>
    </a:p>
  </c:tx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100" b="1" i="0" u="sng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r>
              <a:rPr lang="pt-BR"/>
              <a:t>DESPESAS LIQUIDADA ATÉ 08/2026</a:t>
            </a:r>
          </a:p>
          <a:p>
            <a:pPr>
              <a:defRPr sz="1100" b="1" i="0" u="sng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pt-BR"/>
          </a:p>
        </c:rich>
      </c:tx>
      <c:layout>
        <c:manualLayout>
          <c:xMode val="edge"/>
          <c:yMode val="edge"/>
          <c:x val="0.39203934930297302"/>
          <c:y val="2.8514803483959409E-2"/>
        </c:manualLayout>
      </c:layout>
      <c:overlay val="0"/>
      <c:spPr>
        <a:noFill/>
        <a:ln w="25400">
          <a:noFill/>
        </a:ln>
      </c:spPr>
    </c:title>
    <c:autoTitleDeleted val="0"/>
    <c:view3D>
      <c:rotX val="15"/>
      <c:hPercent val="55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8.4375000000000006E-2"/>
          <c:y val="0.11784511784511786"/>
          <c:w val="0.9052083333333335"/>
          <c:h val="0.77104377104377153"/>
        </c:manualLayout>
      </c:layout>
      <c:bar3DChart>
        <c:barDir val="col"/>
        <c:grouping val="clustered"/>
        <c:varyColors val="0"/>
        <c:ser>
          <c:idx val="0"/>
          <c:order val="0"/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1.6872047244094503E-2"/>
                  <c:y val="-3.4700813913412336E-2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1000" b="0" i="0" u="none" strike="noStrike" baseline="0">
                      <a:solidFill>
                        <a:srgbClr val="000000"/>
                      </a:solidFill>
                      <a:latin typeface="Arial"/>
                      <a:ea typeface="Arial"/>
                      <a:cs typeface="Arial"/>
                    </a:defRPr>
                  </a:pPr>
                  <a:endParaRPr lang="pt-BR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1315-4FBF-B570-FE0A7F7293BB}"/>
                </c:ext>
              </c:extLst>
            </c:dLbl>
            <c:dLbl>
              <c:idx val="1"/>
              <c:layout>
                <c:manualLayout>
                  <c:x val="1.5207239720034991E-2"/>
                  <c:y val="-2.9012787542971246E-2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1000" b="0" i="0" u="none" strike="noStrike" baseline="0">
                      <a:solidFill>
                        <a:srgbClr val="000000"/>
                      </a:solidFill>
                      <a:latin typeface="Arial"/>
                      <a:ea typeface="Arial"/>
                      <a:cs typeface="Arial"/>
                    </a:defRPr>
                  </a:pPr>
                  <a:endParaRPr lang="pt-BR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1315-4FBF-B570-FE0A7F7293BB}"/>
                </c:ext>
              </c:extLst>
            </c:dLbl>
            <c:dLbl>
              <c:idx val="2"/>
              <c:layout>
                <c:manualLayout>
                  <c:x val="1.1458989501312326E-2"/>
                  <c:y val="-2.986417101902665E-2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1000" b="0" i="0" u="none" strike="noStrike" baseline="0">
                      <a:solidFill>
                        <a:srgbClr val="000000"/>
                      </a:solidFill>
                      <a:latin typeface="Arial"/>
                      <a:ea typeface="Arial"/>
                      <a:cs typeface="Arial"/>
                    </a:defRPr>
                  </a:pPr>
                  <a:endParaRPr lang="pt-BR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1315-4FBF-B570-FE0A7F7293BB}"/>
                </c:ext>
              </c:extLst>
            </c:dLbl>
            <c:dLbl>
              <c:idx val="3"/>
              <c:layout>
                <c:manualLayout>
                  <c:x val="1.1571850393700813E-2"/>
                  <c:y val="-2.7376476930282678E-2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1000" b="0" i="0" u="none" strike="noStrike" baseline="0">
                      <a:solidFill>
                        <a:srgbClr val="000000"/>
                      </a:solidFill>
                      <a:latin typeface="Arial"/>
                      <a:ea typeface="Arial"/>
                      <a:cs typeface="Arial"/>
                    </a:defRPr>
                  </a:pPr>
                  <a:endParaRPr lang="pt-BR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3-1315-4FBF-B570-FE0A7F7293BB}"/>
                </c:ext>
              </c:extLst>
            </c:dLbl>
            <c:dLbl>
              <c:idx val="4"/>
              <c:layout>
                <c:manualLayout>
                  <c:x val="1.8240376202974719E-2"/>
                  <c:y val="-2.4744028208595132E-2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1000" b="0" i="0" u="none" strike="noStrike" baseline="0">
                      <a:solidFill>
                        <a:srgbClr val="000000"/>
                      </a:solidFill>
                      <a:latin typeface="Arial"/>
                      <a:ea typeface="Arial"/>
                      <a:cs typeface="Arial"/>
                    </a:defRPr>
                  </a:pPr>
                  <a:endParaRPr lang="pt-BR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4-1315-4FBF-B570-FE0A7F7293BB}"/>
                </c:ext>
              </c:extLst>
            </c:dLbl>
            <c:dLbl>
              <c:idx val="5"/>
              <c:layout>
                <c:manualLayout>
                  <c:x val="2.0742125984252031E-2"/>
                  <c:y val="-3.9224440379296038E-2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1000" b="0" i="0" u="none" strike="noStrike" baseline="0">
                      <a:solidFill>
                        <a:srgbClr val="000000"/>
                      </a:solidFill>
                      <a:latin typeface="Arial"/>
                      <a:ea typeface="Arial"/>
                      <a:cs typeface="Arial"/>
                    </a:defRPr>
                  </a:pPr>
                  <a:endParaRPr lang="pt-BR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5-1315-4FBF-B570-FE0A7F7293BB}"/>
                </c:ext>
              </c:extLst>
            </c:dLbl>
            <c:dLbl>
              <c:idx val="6"/>
              <c:layout>
                <c:manualLayout>
                  <c:x val="1.8035542432196076E-2"/>
                  <c:y val="-3.4211051901340592E-2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1000" b="0" i="0" u="none" strike="noStrike" baseline="0">
                      <a:solidFill>
                        <a:srgbClr val="000000"/>
                      </a:solidFill>
                      <a:latin typeface="Arial"/>
                      <a:ea typeface="Arial"/>
                      <a:cs typeface="Arial"/>
                    </a:defRPr>
                  </a:pPr>
                  <a:endParaRPr lang="pt-BR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6-1315-4FBF-B570-FE0A7F7293BB}"/>
                </c:ext>
              </c:extLst>
            </c:dLbl>
            <c:dLbl>
              <c:idx val="7"/>
              <c:layout>
                <c:manualLayout>
                  <c:x val="1.8759623797025341E-2"/>
                  <c:y val="-2.5589579080392801E-2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1000" b="0" i="0" u="none" strike="noStrike" baseline="0">
                      <a:solidFill>
                        <a:srgbClr val="000000"/>
                      </a:solidFill>
                      <a:latin typeface="Arial"/>
                      <a:ea typeface="Arial"/>
                      <a:cs typeface="Arial"/>
                    </a:defRPr>
                  </a:pPr>
                  <a:endParaRPr lang="pt-BR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1315-4FBF-B570-FE0A7F7293BB}"/>
                </c:ext>
              </c:extLst>
            </c:dLbl>
            <c:spPr>
              <a:noFill/>
              <a:ln w="25400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00" b="0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pt-BR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'Totais-Este q estou usando'!$L$5:$L$11</c:f>
              <c:strCache>
                <c:ptCount val="7"/>
                <c:pt idx="0">
                  <c:v>Câm.Ver.</c:v>
                </c:pt>
                <c:pt idx="1">
                  <c:v>Gab.Pref.</c:v>
                </c:pt>
                <c:pt idx="2">
                  <c:v>Adm/Faz</c:v>
                </c:pt>
                <c:pt idx="3">
                  <c:v>Obras/Agric</c:v>
                </c:pt>
                <c:pt idx="4">
                  <c:v>Educação</c:v>
                </c:pt>
                <c:pt idx="5">
                  <c:v>Saúde/Assit</c:v>
                </c:pt>
                <c:pt idx="6">
                  <c:v>Encargos</c:v>
                </c:pt>
              </c:strCache>
            </c:strRef>
          </c:cat>
          <c:val>
            <c:numRef>
              <c:f>'Totais-Este q estou usando'!$I$5:$I$11</c:f>
              <c:numCache>
                <c:formatCode>0.00%</c:formatCode>
                <c:ptCount val="7"/>
                <c:pt idx="0">
                  <c:v>2.0610134205282564E-2</c:v>
                </c:pt>
                <c:pt idx="1">
                  <c:v>3.5618142254519994E-2</c:v>
                </c:pt>
                <c:pt idx="2">
                  <c:v>0.1151931157828875</c:v>
                </c:pt>
                <c:pt idx="3">
                  <c:v>0.35289626927282169</c:v>
                </c:pt>
                <c:pt idx="4">
                  <c:v>0.17868275732588026</c:v>
                </c:pt>
                <c:pt idx="5">
                  <c:v>0.26292352942201874</c:v>
                </c:pt>
                <c:pt idx="6">
                  <c:v>3.4076051736589327E-2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1315-4FBF-B570-FE0A7F7293B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shape val="box"/>
        <c:axId val="97351936"/>
        <c:axId val="97354112"/>
        <c:axId val="0"/>
      </c:bar3DChart>
      <c:catAx>
        <c:axId val="97351936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2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r>
                  <a:rPr lang="pt-BR"/>
                  <a:t>Secretarias</a:t>
                </a:r>
              </a:p>
            </c:rich>
          </c:tx>
          <c:layout>
            <c:manualLayout>
              <c:xMode val="edge"/>
              <c:yMode val="edge"/>
              <c:x val="0.444225063885484"/>
              <c:y val="0.94728438403798243"/>
            </c:manualLayout>
          </c:layout>
          <c:overlay val="0"/>
          <c:spPr>
            <a:noFill/>
            <a:ln w="25400">
              <a:noFill/>
            </a:ln>
          </c:spPr>
        </c:title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pt-BR"/>
          </a:p>
        </c:txPr>
        <c:crossAx val="9735411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97354112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title>
          <c:tx>
            <c:rich>
              <a:bodyPr rot="0" vert="horz"/>
              <a:lstStyle/>
              <a:p>
                <a:pPr algn="ctr">
                  <a:defRPr sz="10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r>
                  <a:rPr lang="pt-BR"/>
                  <a:t>%</a:t>
                </a:r>
              </a:p>
            </c:rich>
          </c:tx>
          <c:layout>
            <c:manualLayout>
              <c:xMode val="edge"/>
              <c:yMode val="edge"/>
              <c:x val="1.0045083414705087E-4"/>
              <c:y val="0.50799187521941924"/>
            </c:manualLayout>
          </c:layout>
          <c:overlay val="0"/>
          <c:spPr>
            <a:noFill/>
            <a:ln w="25400">
              <a:noFill/>
            </a:ln>
          </c:spPr>
        </c:title>
        <c:numFmt formatCode="0.0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2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pt-BR"/>
          </a:p>
        </c:txPr>
        <c:crossAx val="97351936"/>
        <c:crosses val="autoZero"/>
        <c:crossBetween val="between"/>
      </c:valAx>
      <c:spPr>
        <a:noFill/>
        <a:ln w="25400">
          <a:noFill/>
        </a:ln>
      </c:spPr>
    </c:plotArea>
    <c:plotVisOnly val="1"/>
    <c:dispBlanksAs val="gap"/>
    <c:showDLblsOverMax val="0"/>
  </c:chart>
  <c:spPr>
    <a:noFill/>
    <a:ln w="9525">
      <a:noFill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pt-BR"/>
    </a:p>
  </c:txPr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r>
              <a:rPr lang="pt-BR" sz="1400" b="1" i="0" u="sng" strike="noStrike" baseline="0">
                <a:solidFill>
                  <a:srgbClr val="000000"/>
                </a:solidFill>
                <a:latin typeface="Arial"/>
                <a:cs typeface="Arial"/>
              </a:rPr>
              <a:t>PREVISÃO PARA  2027</a:t>
            </a:r>
            <a:endParaRPr lang="pt-BR" sz="1600" b="1" i="0" u="sng" strike="noStrike" baseline="0">
              <a:solidFill>
                <a:srgbClr val="000000"/>
              </a:solidFill>
              <a:latin typeface="Arial"/>
              <a:cs typeface="Arial"/>
            </a:endParaRPr>
          </a:p>
          <a:p>
            <a:pPr>
              <a:defRPr sz="10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pt-BR" sz="1600" b="1" i="0" u="sng" strike="noStrike" baseline="0">
              <a:solidFill>
                <a:srgbClr val="000000"/>
              </a:solidFill>
              <a:latin typeface="Arial"/>
              <a:cs typeface="Arial"/>
            </a:endParaRPr>
          </a:p>
        </c:rich>
      </c:tx>
      <c:layout>
        <c:manualLayout>
          <c:xMode val="edge"/>
          <c:yMode val="edge"/>
          <c:x val="0.41216531176849874"/>
          <c:y val="6.6369191695708676E-3"/>
        </c:manualLayout>
      </c:layout>
      <c:overlay val="0"/>
      <c:spPr>
        <a:noFill/>
        <a:ln w="25400">
          <a:noFill/>
        </a:ln>
      </c:spPr>
    </c:title>
    <c:autoTitleDeleted val="0"/>
    <c:view3D>
      <c:rotX val="15"/>
      <c:hPercent val="55"/>
      <c:rotY val="20"/>
      <c:depthPercent val="100"/>
      <c:rAngAx val="0"/>
      <c:perspective val="30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8.4375000000000006E-2"/>
          <c:y val="0.11784511784511785"/>
          <c:w val="0.90520833333333328"/>
          <c:h val="0.77104377104377109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'Totais-Este q estou usando'!$B$28:$B$34</c:f>
              <c:strCache>
                <c:ptCount val="7"/>
                <c:pt idx="0">
                  <c:v>CÂMARA</c:v>
                </c:pt>
                <c:pt idx="1">
                  <c:v>GABINETE</c:v>
                </c:pt>
                <c:pt idx="2">
                  <c:v>ADMINIST/PLANEJ</c:v>
                </c:pt>
                <c:pt idx="3">
                  <c:v>OBRAS/AGRIC</c:v>
                </c:pt>
                <c:pt idx="4">
                  <c:v>EDUCAÇÃO</c:v>
                </c:pt>
                <c:pt idx="5">
                  <c:v>SAÚDE/ASSIST.</c:v>
                </c:pt>
                <c:pt idx="6">
                  <c:v>ENC. GERAIS</c:v>
                </c:pt>
              </c:strCache>
            </c:strRef>
          </c:tx>
          <c:spPr>
            <a:ln w="12700">
              <a:solidFill>
                <a:srgbClr val="000000"/>
              </a:solidFill>
              <a:prstDash val="solid"/>
            </a:ln>
            <a:scene3d>
              <a:camera prst="orthographicFront"/>
              <a:lightRig rig="threePt" dir="t"/>
            </a:scene3d>
          </c:spPr>
          <c:invertIfNegative val="0"/>
          <c:cat>
            <c:strRef>
              <c:f>'Totais-Este q estou usando'!$B$28:$B$34</c:f>
              <c:strCache>
                <c:ptCount val="7"/>
                <c:pt idx="0">
                  <c:v>CÂMARA</c:v>
                </c:pt>
                <c:pt idx="1">
                  <c:v>GABINETE</c:v>
                </c:pt>
                <c:pt idx="2">
                  <c:v>ADMINIST/PLANEJ</c:v>
                </c:pt>
                <c:pt idx="3">
                  <c:v>OBRAS/AGRIC</c:v>
                </c:pt>
                <c:pt idx="4">
                  <c:v>EDUCAÇÃO</c:v>
                </c:pt>
                <c:pt idx="5">
                  <c:v>SAÚDE/ASSIST.</c:v>
                </c:pt>
                <c:pt idx="6">
                  <c:v>ENC. GERAIS</c:v>
                </c:pt>
              </c:strCache>
            </c:strRef>
          </c:cat>
          <c:val>
            <c:numRef>
              <c:f>'Totais-Este q estou usando'!$C$19:$C$25</c:f>
              <c:numCache>
                <c:formatCode>_(* #,##0.00_);_(* \(#,##0.00\);_(* "-"??_);_(@_)</c:formatCode>
                <c:ptCount val="7"/>
                <c:pt idx="0">
                  <c:v>900000</c:v>
                </c:pt>
                <c:pt idx="1">
                  <c:v>1250000</c:v>
                </c:pt>
                <c:pt idx="2">
                  <c:v>4724000</c:v>
                </c:pt>
                <c:pt idx="3">
                  <c:v>11784000</c:v>
                </c:pt>
                <c:pt idx="4">
                  <c:v>7746000</c:v>
                </c:pt>
                <c:pt idx="5">
                  <c:v>9839000</c:v>
                </c:pt>
                <c:pt idx="6">
                  <c:v>257000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ED50-4F35-ACB4-4F05A318F86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shape val="box"/>
        <c:axId val="97376128"/>
        <c:axId val="113430528"/>
        <c:axId val="0"/>
      </c:bar3DChart>
      <c:catAx>
        <c:axId val="97376128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r>
                  <a:rPr lang="pt-BR"/>
                  <a:t>Secretarias</a:t>
                </a:r>
              </a:p>
            </c:rich>
          </c:tx>
          <c:layout>
            <c:manualLayout>
              <c:xMode val="edge"/>
              <c:yMode val="edge"/>
              <c:x val="0.4677083822555379"/>
              <c:y val="0.96557395963909753"/>
            </c:manualLayout>
          </c:layout>
          <c:overlay val="0"/>
          <c:spPr>
            <a:noFill/>
            <a:ln w="25400">
              <a:noFill/>
            </a:ln>
          </c:spPr>
        </c:title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-2700000" vert="horz"/>
          <a:lstStyle/>
          <a:p>
            <a:pPr>
              <a:defRPr sz="8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pt-BR"/>
          </a:p>
        </c:txPr>
        <c:crossAx val="113430528"/>
        <c:crosses val="autoZero"/>
        <c:auto val="1"/>
        <c:lblAlgn val="ctr"/>
        <c:lblOffset val="100"/>
        <c:noMultiLvlLbl val="0"/>
      </c:catAx>
      <c:valAx>
        <c:axId val="113430528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title>
          <c:tx>
            <c:rich>
              <a:bodyPr rot="0" vert="horz"/>
              <a:lstStyle/>
              <a:p>
                <a:pPr algn="ctr">
                  <a:defRPr sz="10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r>
                  <a:rPr lang="pt-BR"/>
                  <a:t>%</a:t>
                </a:r>
              </a:p>
            </c:rich>
          </c:tx>
          <c:layout>
            <c:manualLayout>
              <c:xMode val="edge"/>
              <c:yMode val="edge"/>
              <c:x val="9.0278750125643206E-3"/>
              <c:y val="0.51010089247824719"/>
            </c:manualLayout>
          </c:layout>
          <c:overlay val="0"/>
          <c:spPr>
            <a:noFill/>
            <a:ln w="25400">
              <a:noFill/>
            </a:ln>
          </c:spPr>
        </c:title>
        <c:numFmt formatCode="_(* #,##0.00_);_(* \(#,##0.00\);_(* &quot;-&quot;??_);_(@_)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pt-BR"/>
          </a:p>
        </c:txPr>
        <c:crossAx val="97376128"/>
        <c:crosses val="autoZero"/>
        <c:crossBetween val="between"/>
      </c:valAx>
      <c:spPr>
        <a:noFill/>
        <a:ln w="25400">
          <a:noFill/>
        </a:ln>
      </c:spPr>
    </c:plotArea>
    <c:plotVisOnly val="1"/>
    <c:dispBlanksAs val="gap"/>
    <c:showDLblsOverMax val="0"/>
  </c:chart>
  <c:spPr>
    <a:noFill/>
    <a:ln w="9525">
      <a:noFill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pt-BR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3780</Words>
  <Characters>20412</Characters>
  <Application>Microsoft Office Word</Application>
  <DocSecurity>0</DocSecurity>
  <Lines>170</Lines>
  <Paragraphs>48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cp:lastPrinted>2026-09-14T19:43:00Z</cp:lastPrinted>
  <dcterms:created xsi:type="dcterms:W3CDTF">2026-09-15T12:31:00Z</dcterms:created>
  <dcterms:modified xsi:type="dcterms:W3CDTF">2026-09-15T12:31:00Z</dcterms:modified>
</cp:coreProperties>
</file>